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6E25C" w14:textId="77777777" w:rsidR="00D507AF" w:rsidRPr="00D507AF" w:rsidRDefault="00D507AF" w:rsidP="00D507AF">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0" w:name="_Toc505861915"/>
      <w:r w:rsidRPr="00D507AF">
        <w:rPr>
          <w:rFonts w:asciiTheme="majorHAnsi" w:eastAsiaTheme="majorEastAsia" w:hAnsiTheme="majorHAnsi" w:cstheme="majorBidi"/>
          <w:color w:val="2E74B5" w:themeColor="accent1" w:themeShade="BF"/>
          <w:sz w:val="32"/>
          <w:szCs w:val="32"/>
          <w:lang w:eastAsia="nl-BE"/>
        </w:rPr>
        <w:t>Hoofdstuk 8: Burgerlijke aansprakelijkheid</w:t>
      </w:r>
      <w:bookmarkEnd w:id="0"/>
    </w:p>
    <w:p w14:paraId="4E369459" w14:textId="77777777" w:rsidR="00D507AF" w:rsidRPr="00D507AF" w:rsidRDefault="00D507AF" w:rsidP="00D507AF"/>
    <w:p w14:paraId="1EE60BA0" w14:textId="77777777" w:rsidR="00D507AF" w:rsidRPr="00D507AF" w:rsidRDefault="00D507AF" w:rsidP="00D507AF">
      <w:pPr>
        <w:numPr>
          <w:ilvl w:val="1"/>
          <w:numId w:val="0"/>
        </w:numPr>
        <w:rPr>
          <w:rFonts w:eastAsiaTheme="minorEastAsia"/>
          <w:color w:val="5A5A5A" w:themeColor="text1" w:themeTint="A5"/>
          <w:spacing w:val="15"/>
          <w:lang w:eastAsia="nl-BE"/>
        </w:rPr>
      </w:pPr>
      <w:r w:rsidRPr="00D507AF">
        <w:rPr>
          <w:rFonts w:eastAsiaTheme="minorEastAsia"/>
          <w:color w:val="5A5A5A" w:themeColor="text1" w:themeTint="A5"/>
          <w:spacing w:val="15"/>
          <w:lang w:eastAsia="nl-BE"/>
        </w:rPr>
        <w:t xml:space="preserve">Doelstellingen </w:t>
      </w:r>
    </w:p>
    <w:p w14:paraId="7A58C52D" w14:textId="77777777" w:rsidR="00D507AF" w:rsidRPr="00D507AF" w:rsidRDefault="00D507AF" w:rsidP="00D507AF"/>
    <w:p w14:paraId="3A913733" w14:textId="77777777" w:rsidR="00D507AF" w:rsidRPr="00D507AF" w:rsidRDefault="00D507AF" w:rsidP="00D507AF">
      <w:pPr>
        <w:numPr>
          <w:ilvl w:val="0"/>
          <w:numId w:val="2"/>
        </w:numPr>
        <w:pBdr>
          <w:top w:val="single" w:sz="4" w:space="1" w:color="auto"/>
          <w:left w:val="single" w:sz="4" w:space="4" w:color="auto"/>
          <w:bottom w:val="single" w:sz="4" w:space="18" w:color="auto"/>
          <w:right w:val="single" w:sz="4" w:space="4" w:color="auto"/>
        </w:pBdr>
        <w:contextualSpacing/>
        <w:rPr>
          <w:rFonts w:eastAsiaTheme="minorEastAsia"/>
          <w:lang w:eastAsia="nl-BE"/>
        </w:rPr>
      </w:pPr>
      <w:r w:rsidRPr="00D507AF">
        <w:rPr>
          <w:rFonts w:eastAsiaTheme="minorEastAsia"/>
          <w:lang w:eastAsia="nl-BE"/>
        </w:rPr>
        <w:t xml:space="preserve">De begrippen algemene burgerlijke aansprakelijkheid en specifieke burgerlijke aansprakelijkheid </w:t>
      </w:r>
      <w:r w:rsidRPr="00D507AF">
        <w:rPr>
          <w:rFonts w:eastAsiaTheme="minorEastAsia"/>
          <w:highlight w:val="yellow"/>
          <w:lang w:eastAsia="nl-BE"/>
        </w:rPr>
        <w:t>kennen</w:t>
      </w:r>
      <w:r w:rsidRPr="00D507AF">
        <w:rPr>
          <w:rFonts w:eastAsiaTheme="minorEastAsia"/>
          <w:lang w:eastAsia="nl-BE"/>
        </w:rPr>
        <w:t xml:space="preserve"> en kunnen illustreren met voorbeelden. </w:t>
      </w:r>
    </w:p>
    <w:p w14:paraId="6FFF7013" w14:textId="77777777" w:rsidR="00D507AF" w:rsidRPr="00D507AF" w:rsidRDefault="00D507AF" w:rsidP="00D507AF">
      <w:pPr>
        <w:numPr>
          <w:ilvl w:val="0"/>
          <w:numId w:val="2"/>
        </w:numPr>
        <w:pBdr>
          <w:top w:val="single" w:sz="4" w:space="1" w:color="auto"/>
          <w:left w:val="single" w:sz="4" w:space="4" w:color="auto"/>
          <w:bottom w:val="single" w:sz="4" w:space="18" w:color="auto"/>
          <w:right w:val="single" w:sz="4" w:space="4" w:color="auto"/>
        </w:pBdr>
        <w:contextualSpacing/>
        <w:rPr>
          <w:rFonts w:eastAsiaTheme="minorEastAsia"/>
          <w:lang w:eastAsia="nl-BE"/>
        </w:rPr>
      </w:pPr>
      <w:r>
        <w:rPr>
          <w:rFonts w:eastAsiaTheme="minorEastAsia"/>
          <w:lang w:eastAsia="nl-BE"/>
        </w:rPr>
        <w:t>In concrete gevallen de verschillende soorten burgerlijke aansprakelijkheid kunnen toepassen, via analyse aan de hand van de voorwaarden van de burgerlijke aansprakelijkheid</w:t>
      </w:r>
    </w:p>
    <w:p w14:paraId="357B6CDC" w14:textId="77777777" w:rsidR="00D507AF" w:rsidRPr="00D507AF" w:rsidRDefault="00D507AF" w:rsidP="00D507AF"/>
    <w:p w14:paraId="5B0BF363" w14:textId="77777777" w:rsidR="00D507AF" w:rsidRPr="00D507AF" w:rsidRDefault="00D507AF" w:rsidP="00D507AF">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1" w:name="_Toc505861916"/>
      <w:r w:rsidRPr="00D507AF">
        <w:rPr>
          <w:rFonts w:asciiTheme="majorHAnsi" w:eastAsiaTheme="majorEastAsia" w:hAnsiTheme="majorHAnsi" w:cstheme="majorBidi"/>
          <w:color w:val="2E74B5" w:themeColor="accent1" w:themeShade="BF"/>
          <w:sz w:val="32"/>
          <w:szCs w:val="32"/>
          <w:lang w:eastAsia="nl-BE"/>
        </w:rPr>
        <w:t>Inleiding</w:t>
      </w:r>
      <w:bookmarkEnd w:id="1"/>
    </w:p>
    <w:p w14:paraId="7484F108" w14:textId="77777777" w:rsidR="00D507AF" w:rsidRPr="00D507AF" w:rsidRDefault="00D507AF" w:rsidP="00D507AF">
      <w:r w:rsidRPr="00D507AF">
        <w:rPr>
          <w:noProof/>
          <w:lang w:eastAsia="nl-BE"/>
        </w:rPr>
        <w:drawing>
          <wp:anchor distT="0" distB="0" distL="114300" distR="114300" simplePos="0" relativeHeight="251659264" behindDoc="0" locked="0" layoutInCell="1" allowOverlap="1" wp14:anchorId="3D6D6014" wp14:editId="280BB416">
            <wp:simplePos x="0" y="0"/>
            <wp:positionH relativeFrom="column">
              <wp:posOffset>33655</wp:posOffset>
            </wp:positionH>
            <wp:positionV relativeFrom="paragraph">
              <wp:posOffset>207010</wp:posOffset>
            </wp:positionV>
            <wp:extent cx="2031763" cy="2057400"/>
            <wp:effectExtent l="0" t="0" r="6985" b="0"/>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1763" cy="2057400"/>
                    </a:xfrm>
                    <a:prstGeom prst="rect">
                      <a:avLst/>
                    </a:prstGeom>
                    <a:noFill/>
                    <a:ln w="9525">
                      <a:noFill/>
                      <a:miter lim="800000"/>
                      <a:headEnd/>
                      <a:tailEnd/>
                    </a:ln>
                  </pic:spPr>
                </pic:pic>
              </a:graphicData>
            </a:graphic>
          </wp:anchor>
        </w:drawing>
      </w:r>
    </w:p>
    <w:p w14:paraId="2B1FB878" w14:textId="77777777" w:rsidR="00D507AF" w:rsidRPr="00D507AF" w:rsidRDefault="00D507AF" w:rsidP="00D507AF">
      <w:r w:rsidRPr="00D507AF">
        <w:t xml:space="preserve">Jaarlijks gebeuren er ca. 100.000 ongevallen op een school. </w:t>
      </w:r>
      <w:r w:rsidRPr="00D507AF">
        <w:rPr>
          <w:rFonts w:eastAsia="Verdana"/>
          <w:lang w:val="nl-NL"/>
        </w:rPr>
        <w:t>Personeelsleden in het onderwijs kunnen bij schoolse en naschoolse activiteiten burgerlijk aansprakelijk gesteld worden voor de "schade" die zij zelf aan de hun toevertrouwde leerlingen berokkenen, alsook voor de "schade" die de leerlingen aan andere leerlingen veroorzaken</w:t>
      </w:r>
      <w:r w:rsidRPr="00D507AF">
        <w:rPr>
          <w:lang w:val="nl-NL"/>
        </w:rPr>
        <w:t xml:space="preserve">. </w:t>
      </w:r>
      <w:r w:rsidRPr="00D507AF">
        <w:t xml:space="preserve">Niet veel leerkrachten weten in welke mate ze (burgerlijk) aansprakelijk zijn voor eigen daden als voor daden van hun leerlingen en welke verzekering hun school heeft afgesloten. Goed om hier even bij stil te staan. </w:t>
      </w:r>
    </w:p>
    <w:p w14:paraId="7AF4911B" w14:textId="77777777" w:rsidR="00D507AF" w:rsidRPr="00D507AF" w:rsidRDefault="00D507AF" w:rsidP="00D507AF"/>
    <w:p w14:paraId="136FBDE2" w14:textId="77777777" w:rsidR="00D507AF" w:rsidRPr="00D507AF" w:rsidRDefault="00D507AF" w:rsidP="00D507AF"/>
    <w:p w14:paraId="40D4515B" w14:textId="77777777" w:rsidR="00D507AF" w:rsidRPr="00D507AF" w:rsidRDefault="00D507AF" w:rsidP="00D507AF">
      <w:pPr>
        <w:keepNext/>
        <w:keepLines/>
        <w:numPr>
          <w:ilvl w:val="1"/>
          <w:numId w:val="1"/>
        </w:numPr>
        <w:spacing w:before="240" w:after="0"/>
        <w:outlineLvl w:val="0"/>
        <w:rPr>
          <w:rFonts w:asciiTheme="majorHAnsi" w:eastAsiaTheme="majorEastAsia" w:hAnsiTheme="majorHAnsi" w:cstheme="majorBidi"/>
          <w:color w:val="2E74B5" w:themeColor="accent1" w:themeShade="BF"/>
          <w:sz w:val="32"/>
          <w:szCs w:val="32"/>
          <w:lang w:eastAsia="nl-BE"/>
        </w:rPr>
      </w:pPr>
      <w:bookmarkStart w:id="2" w:name="_Toc505861917"/>
      <w:r w:rsidRPr="00D507AF">
        <w:rPr>
          <w:rFonts w:asciiTheme="majorHAnsi" w:eastAsiaTheme="majorEastAsia" w:hAnsiTheme="majorHAnsi" w:cstheme="majorBidi"/>
          <w:color w:val="2E74B5" w:themeColor="accent1" w:themeShade="BF"/>
          <w:sz w:val="32"/>
          <w:szCs w:val="32"/>
          <w:lang w:eastAsia="nl-BE"/>
        </w:rPr>
        <w:t>Algemene en specifieke burgerlijke aansprakelijkheid</w:t>
      </w:r>
      <w:bookmarkEnd w:id="2"/>
    </w:p>
    <w:p w14:paraId="2C41EA20" w14:textId="77777777" w:rsidR="00D507AF" w:rsidRPr="00D507AF" w:rsidRDefault="00D507AF" w:rsidP="00D507AF"/>
    <w:p w14:paraId="77BF8DD6" w14:textId="77777777" w:rsidR="00D507AF" w:rsidRPr="00D507AF" w:rsidRDefault="00D507AF" w:rsidP="00D507AF">
      <w:r w:rsidRPr="00D507AF">
        <w:t>Burgerlijk aansprakelijk gesteld worden klinkt nogal akelig. Nochtans is het vaak gewoon een kwestie van welke verzekeringsmaatschappij opdraait voor de kosten bij een schadegeval. Indien verzekeringsmaatschappijen niet tot overeenstemming komen, kan dit uitdraaien op een proces.</w:t>
      </w:r>
    </w:p>
    <w:p w14:paraId="0AB13E23" w14:textId="77777777" w:rsidR="00D507AF" w:rsidRPr="00D507AF" w:rsidRDefault="00D507AF" w:rsidP="00D507AF">
      <w:r w:rsidRPr="00D507AF">
        <w:t xml:space="preserve">De burgerlijke aansprakelijkheid wordt geregeld door de artikelen 1382 t/m 1386 bis van het Burgerlijk Wetboek en de specifieke burgerlijke aansprakelijkheid door artikel 1384 van het Burgerlijk Wetboek. </w:t>
      </w:r>
    </w:p>
    <w:p w14:paraId="4CA96DB3" w14:textId="77777777" w:rsidR="00D507AF" w:rsidRPr="00D507AF" w:rsidRDefault="00D507AF" w:rsidP="00D507AF">
      <w:r w:rsidRPr="00D507AF">
        <w:t>Burgerlijke aansprakelijkheid bestaat uit twee facetten: algemene en specifieke burgerlijke aansprakelijkheid.</w:t>
      </w:r>
    </w:p>
    <w:p w14:paraId="1AE25395" w14:textId="77777777" w:rsidR="00D507AF" w:rsidRPr="00D507AF" w:rsidRDefault="00D507AF" w:rsidP="00D507AF">
      <w:r w:rsidRPr="00D507AF">
        <w:t xml:space="preserve">Naast burgerlijk kan men ook moreel, strafrechtelijk, disciplinair of tuchtrechtelijk aansprakelijk gesteld worden. Uiteraard zijn ook combinaties van aansprakelijkheden mogelijk. </w:t>
      </w:r>
    </w:p>
    <w:p w14:paraId="77AD2FA7" w14:textId="77777777" w:rsidR="00D507AF" w:rsidRPr="00D507AF" w:rsidRDefault="00D507AF" w:rsidP="00D507AF">
      <w:r w:rsidRPr="00D507AF">
        <w:lastRenderedPageBreak/>
        <w:t>Voor meer uitgebreide informatie verwijzen we ook graag naar de mededeling van VVKSO (2014-01-16) betreffende aansprakelijkheden binnen onderwijs. (Ook terug te vinden in de achtergrondinformatiemap op Toledo)</w:t>
      </w:r>
    </w:p>
    <w:p w14:paraId="4A0A002B" w14:textId="77777777" w:rsidR="00D507AF" w:rsidRPr="00D507AF" w:rsidRDefault="00251143" w:rsidP="00D507AF">
      <w:hyperlink r:id="rId11" w:history="1">
        <w:r w:rsidR="00D507AF" w:rsidRPr="00D507AF">
          <w:rPr>
            <w:color w:val="0563C1" w:themeColor="hyperlink"/>
            <w:u w:val="single"/>
          </w:rPr>
          <w:t>http://ond.vvkso-ict.com/vvksosites/UPLOAD/2014/M-VVKSO-2014-008.pdf</w:t>
        </w:r>
      </w:hyperlink>
    </w:p>
    <w:p w14:paraId="7CB55E0A" w14:textId="77777777" w:rsidR="00D507AF" w:rsidRPr="00D507AF" w:rsidRDefault="00D507AF" w:rsidP="00D507AF">
      <w:pPr>
        <w:keepNext/>
        <w:keepLines/>
        <w:numPr>
          <w:ilvl w:val="1"/>
          <w:numId w:val="3"/>
        </w:numPr>
        <w:spacing w:before="40" w:after="0"/>
        <w:outlineLvl w:val="1"/>
        <w:rPr>
          <w:rFonts w:asciiTheme="majorHAnsi" w:eastAsiaTheme="majorEastAsia" w:hAnsiTheme="majorHAnsi" w:cstheme="majorBidi"/>
          <w:color w:val="2E74B5" w:themeColor="accent1" w:themeShade="BF"/>
          <w:sz w:val="26"/>
          <w:szCs w:val="26"/>
          <w:lang w:eastAsia="nl-BE"/>
        </w:rPr>
      </w:pPr>
      <w:bookmarkStart w:id="3" w:name="_Toc505861918"/>
      <w:r w:rsidRPr="00D507AF">
        <w:rPr>
          <w:rFonts w:asciiTheme="majorHAnsi" w:eastAsiaTheme="majorEastAsia" w:hAnsiTheme="majorHAnsi" w:cstheme="majorBidi"/>
          <w:color w:val="2E74B5" w:themeColor="accent1" w:themeShade="BF"/>
          <w:sz w:val="26"/>
          <w:szCs w:val="26"/>
          <w:lang w:eastAsia="nl-BE"/>
        </w:rPr>
        <w:t>De algemene burgerlijke aansprakelijkheid (ABA)</w:t>
      </w:r>
      <w:bookmarkEnd w:id="3"/>
    </w:p>
    <w:p w14:paraId="54E59F77" w14:textId="77777777" w:rsidR="00D507AF" w:rsidRPr="00D507AF" w:rsidRDefault="00D507AF" w:rsidP="00D507AF"/>
    <w:p w14:paraId="08237F8F" w14:textId="77777777" w:rsidR="00D507AF" w:rsidRPr="00D507AF" w:rsidRDefault="00D507AF" w:rsidP="00D507AF">
      <w:r w:rsidRPr="00D507AF">
        <w:rPr>
          <w:b/>
          <w:bCs/>
        </w:rPr>
        <w:t>Algemene burgerlijke aansprakelijkheid</w:t>
      </w:r>
      <w:r w:rsidRPr="00D507AF">
        <w:t xml:space="preserve"> heeft te maken met gebeurtenissen waarbij je zélf een fout hebt begaan. Om je burgerlijk aansprakelijk te stellen moet het slachtoffer wel kunnen bewijzen dat jij het bent die een persoonlijke fout hebt begaan waardoor hij/zij schade heeft geleden.</w:t>
      </w:r>
    </w:p>
    <w:p w14:paraId="54E156EE" w14:textId="77777777" w:rsidR="00D507AF" w:rsidRPr="00D507AF" w:rsidRDefault="00D507AF" w:rsidP="00D507AF">
      <w:r w:rsidRPr="00D507AF">
        <w:t xml:space="preserve">Drie voorwaarden dienen samen vervuld te zijn, wil er sprake zijn van enige aansprakelijkheid volgens het burgerlijk recht. </w:t>
      </w:r>
    </w:p>
    <w:p w14:paraId="63D0DB53" w14:textId="77777777" w:rsidR="00D507AF" w:rsidRPr="00D507AF" w:rsidRDefault="00D507AF" w:rsidP="00D507AF">
      <w:pPr>
        <w:keepNext/>
        <w:keepLines/>
        <w:spacing w:before="40" w:after="0"/>
        <w:outlineLvl w:val="2"/>
        <w:rPr>
          <w:rFonts w:asciiTheme="majorHAnsi" w:eastAsiaTheme="majorEastAsia" w:hAnsiTheme="majorHAnsi" w:cstheme="majorBidi"/>
          <w:color w:val="1F4D78" w:themeColor="accent1" w:themeShade="7F"/>
          <w:sz w:val="24"/>
          <w:szCs w:val="24"/>
          <w:lang w:eastAsia="nl-BE"/>
        </w:rPr>
      </w:pPr>
    </w:p>
    <w:p w14:paraId="5E7AEA73" w14:textId="77777777" w:rsidR="00D507AF" w:rsidRPr="00D507AF" w:rsidRDefault="00D507AF" w:rsidP="00D507AF">
      <w:pPr>
        <w:numPr>
          <w:ilvl w:val="0"/>
          <w:numId w:val="4"/>
        </w:numPr>
        <w:rPr>
          <w:rFonts w:eastAsiaTheme="minorEastAsia"/>
          <w:color w:val="5A5A5A" w:themeColor="text1" w:themeTint="A5"/>
          <w:spacing w:val="15"/>
          <w:lang w:eastAsia="nl-BE"/>
        </w:rPr>
      </w:pPr>
      <w:r w:rsidRPr="00D507AF">
        <w:rPr>
          <w:rFonts w:eastAsiaTheme="minorEastAsia"/>
          <w:color w:val="5A5A5A" w:themeColor="text1" w:themeTint="A5"/>
          <w:spacing w:val="15"/>
          <w:lang w:eastAsia="nl-BE"/>
        </w:rPr>
        <w:t>Er moet een persoonlijke fout begaan zijn</w:t>
      </w:r>
    </w:p>
    <w:p w14:paraId="2C811BD0" w14:textId="77777777" w:rsidR="00D507AF" w:rsidRPr="00D507AF" w:rsidRDefault="00D507AF" w:rsidP="00D507AF">
      <w:pPr>
        <w:spacing w:after="12" w:line="237" w:lineRule="auto"/>
        <w:ind w:right="131"/>
      </w:pPr>
      <w:r w:rsidRPr="00D507AF">
        <w:t xml:space="preserve">Fout wordt in de burgerrechtelijke aansprakelijkheid ruim omschreven. Fout is niet enkel directe schuld door handelen, maar ook door onvoorzichtigheid, onbedachtzaamheid of nalatigheid (het niet handelen, verzuim).  </w:t>
      </w:r>
    </w:p>
    <w:p w14:paraId="7014D2D3" w14:textId="77777777" w:rsidR="00D507AF" w:rsidRPr="00D507AF" w:rsidRDefault="00D507AF" w:rsidP="00D507AF">
      <w:pPr>
        <w:spacing w:after="0" w:line="240" w:lineRule="auto"/>
      </w:pPr>
      <w:r w:rsidRPr="00D507AF">
        <w:t xml:space="preserve"> </w:t>
      </w:r>
    </w:p>
    <w:p w14:paraId="69E8E7CE" w14:textId="77777777" w:rsidR="00D507AF" w:rsidRPr="00D507AF" w:rsidRDefault="00D507AF" w:rsidP="00D507AF">
      <w:pPr>
        <w:spacing w:after="15" w:line="241" w:lineRule="auto"/>
        <w:ind w:right="-15"/>
      </w:pPr>
      <w:r w:rsidRPr="00D507AF">
        <w:rPr>
          <w:b/>
        </w:rPr>
        <w:t xml:space="preserve">Voorbeeld van een rechtstreekse daad :  </w:t>
      </w:r>
    </w:p>
    <w:p w14:paraId="2711AD1E" w14:textId="77777777" w:rsidR="00D507AF" w:rsidRPr="00D507AF" w:rsidRDefault="00D507AF" w:rsidP="00D507AF">
      <w:r w:rsidRPr="00D507AF">
        <w:t xml:space="preserve">een leerling slaan </w:t>
      </w:r>
    </w:p>
    <w:p w14:paraId="6C2B2539" w14:textId="77777777" w:rsidR="00D507AF" w:rsidRPr="00D507AF" w:rsidRDefault="00D507AF" w:rsidP="00D507AF">
      <w:pPr>
        <w:spacing w:after="15" w:line="241" w:lineRule="auto"/>
        <w:ind w:right="-15"/>
      </w:pPr>
      <w:r w:rsidRPr="00D507AF">
        <w:rPr>
          <w:b/>
        </w:rPr>
        <w:t xml:space="preserve">Voorbeeld van een nalatigheid:  </w:t>
      </w:r>
    </w:p>
    <w:p w14:paraId="4E3FE6EE" w14:textId="77777777" w:rsidR="00D507AF" w:rsidRPr="00D507AF" w:rsidRDefault="00D507AF" w:rsidP="00D507AF">
      <w:r w:rsidRPr="00D507AF">
        <w:t xml:space="preserve">een leerling achterlaten tijdens een schooluitstap </w:t>
      </w:r>
    </w:p>
    <w:p w14:paraId="048B0F9B" w14:textId="77777777" w:rsidR="00D507AF" w:rsidRPr="00D507AF" w:rsidRDefault="00D507AF" w:rsidP="00D507AF">
      <w:r w:rsidRPr="00D507AF">
        <w:rPr>
          <w:i/>
        </w:rPr>
        <w:t>Let op</w:t>
      </w:r>
      <w:r w:rsidRPr="00D507AF">
        <w:t xml:space="preserve">: de ongehoorzaamheid van de leerling kan niet ingeroepen worden als een excuus voor een persoonlijke fout. </w:t>
      </w:r>
    </w:p>
    <w:p w14:paraId="65E26A4C" w14:textId="77777777" w:rsidR="00D507AF" w:rsidRPr="00D507AF" w:rsidRDefault="00D507AF" w:rsidP="00D507AF">
      <w:r w:rsidRPr="00D507AF">
        <w:t xml:space="preserve">Om te oordelen over het ‘foute’ gaat de rechter kijken naar </w:t>
      </w:r>
      <w:r w:rsidRPr="00D507AF">
        <w:rPr>
          <w:i/>
        </w:rPr>
        <w:t>wat een normaal zorgvuldig persoon in dezelfde omstandigheden zou gedaan hebben</w:t>
      </w:r>
      <w:r w:rsidRPr="00D507AF">
        <w:t xml:space="preserve">. Hiermee wordt al aangegeven dat het de rechter is die uiteindelijk oordeelt of een leerkracht al dan niet algemeen burgerlijk aansprakelijk kan worden gesteld. Van een leerkracht verwacht men dus dat hij zich normaal zorgvuldig en vooruitziend zal gedragen. Wel wordt rekening gehouden met externe omstandigheden zoals plaats en tijdstip van het gebeuren. </w:t>
      </w:r>
    </w:p>
    <w:p w14:paraId="3A14E045" w14:textId="77777777" w:rsidR="00D507AF" w:rsidRPr="00D507AF" w:rsidRDefault="00D507AF" w:rsidP="00D507AF">
      <w:r w:rsidRPr="00D507AF">
        <w:t xml:space="preserve">Indien we de algemene burgerlijke aansprakelijkheid van een leerling bekijken, wordt ook rekening gehouden met interne kenmerken, zoals leeftijd, intelligentie, geslacht, karakter, … Vooral de leeftijd en de intelligentie worden steeds vaker in rekening genomen. Van leerlingen van zestien jaar mag je verwachten dat ze bij een klassikale fietstocht verkeerssituaties beter kunnen inschatten naar veiligheidsrisico’s dan men dat van een negenjarige leerling mag verwachten. </w:t>
      </w:r>
    </w:p>
    <w:p w14:paraId="4DEC77CE" w14:textId="77777777" w:rsidR="00D507AF" w:rsidRPr="00D507AF" w:rsidRDefault="00D507AF" w:rsidP="00D507AF">
      <w:r w:rsidRPr="00D507AF">
        <w:t xml:space="preserve">De algemene zorgvuldigheidsnorm wordt hierbij dus gehanteerd. We spreken pas van schending van deze norm en dus van een persoonlijke fout wanneer de schade </w:t>
      </w:r>
      <w:r w:rsidRPr="00D507AF">
        <w:rPr>
          <w:b/>
        </w:rPr>
        <w:t>voorzienbaar</w:t>
      </w:r>
      <w:r w:rsidRPr="00D507AF">
        <w:t xml:space="preserve"> was. </w:t>
      </w:r>
    </w:p>
    <w:p w14:paraId="03BCF148" w14:textId="77777777" w:rsidR="00D507AF" w:rsidRPr="00D507AF" w:rsidRDefault="00D507AF" w:rsidP="00D507AF"/>
    <w:p w14:paraId="028109A9" w14:textId="77777777" w:rsidR="00D507AF" w:rsidRPr="00D507AF" w:rsidRDefault="00D507AF" w:rsidP="00D507AF">
      <w:pPr>
        <w:spacing w:after="0" w:line="240" w:lineRule="auto"/>
      </w:pPr>
      <w:r w:rsidRPr="00D507AF">
        <w:t xml:space="preserve"> </w:t>
      </w:r>
    </w:p>
    <w:p w14:paraId="2B5C5C35" w14:textId="77777777" w:rsidR="00D507AF" w:rsidRPr="00D507AF" w:rsidRDefault="00D507AF" w:rsidP="00D507AF">
      <w:pPr>
        <w:spacing w:after="15" w:line="241" w:lineRule="auto"/>
        <w:ind w:right="-15"/>
      </w:pPr>
      <w:r w:rsidRPr="00D507AF">
        <w:rPr>
          <w:b/>
        </w:rPr>
        <w:t xml:space="preserve">Wanneer is er geen sprake van een fout ? </w:t>
      </w:r>
    </w:p>
    <w:p w14:paraId="114A1F7F" w14:textId="77777777" w:rsidR="00D507AF" w:rsidRPr="00D507AF" w:rsidRDefault="00D507AF" w:rsidP="00D507AF">
      <w:pPr>
        <w:spacing w:after="0" w:line="240" w:lineRule="auto"/>
      </w:pPr>
      <w:r w:rsidRPr="00D507AF">
        <w:t xml:space="preserve"> </w:t>
      </w:r>
    </w:p>
    <w:p w14:paraId="63A70521" w14:textId="77777777" w:rsidR="00D507AF" w:rsidRPr="00D507AF" w:rsidRDefault="00D507AF" w:rsidP="00D507AF">
      <w:r w:rsidRPr="00D507AF">
        <w:lastRenderedPageBreak/>
        <w:t xml:space="preserve">Er is geen fout wanneer schade wordt veroorzaakt door een vreemde oorzaak, door toeval of overmacht. </w:t>
      </w:r>
    </w:p>
    <w:p w14:paraId="197CB375" w14:textId="77777777" w:rsidR="00D507AF" w:rsidRPr="00D507AF" w:rsidRDefault="00D507AF" w:rsidP="00D507AF">
      <w:pPr>
        <w:spacing w:after="12" w:line="237" w:lineRule="auto"/>
        <w:ind w:right="17"/>
      </w:pPr>
      <w:r w:rsidRPr="00D507AF">
        <w:t xml:space="preserve">Evenmin is er sprake van een fout als men verzuimd heeft uitzonderlijke maatregelen te treffen die op het ogenblik van de feiten ongewoon of ongebruikelijk zouden zijn of als men feiten niet heeft kunnen voorzien. </w:t>
      </w:r>
    </w:p>
    <w:p w14:paraId="5FFD5BA1" w14:textId="77777777" w:rsidR="00D507AF" w:rsidRPr="00D507AF" w:rsidRDefault="00D507AF" w:rsidP="00D507AF">
      <w:pPr>
        <w:spacing w:after="0" w:line="240" w:lineRule="auto"/>
      </w:pPr>
    </w:p>
    <w:p w14:paraId="15B11E4F" w14:textId="77777777" w:rsidR="00D507AF" w:rsidRPr="00D507AF" w:rsidRDefault="00D507AF" w:rsidP="00D507AF">
      <w:pPr>
        <w:spacing w:after="0" w:line="240" w:lineRule="auto"/>
      </w:pPr>
    </w:p>
    <w:p w14:paraId="46E488FA" w14:textId="77777777" w:rsidR="00D507AF" w:rsidRPr="00D507AF" w:rsidRDefault="00D507AF" w:rsidP="00D507AF">
      <w:pPr>
        <w:spacing w:after="0" w:line="240" w:lineRule="auto"/>
      </w:pPr>
    </w:p>
    <w:p w14:paraId="4867B536" w14:textId="77777777" w:rsidR="00D507AF" w:rsidRPr="00D507AF" w:rsidRDefault="00D507AF" w:rsidP="00D507AF">
      <w:pPr>
        <w:spacing w:after="0" w:line="240" w:lineRule="auto"/>
      </w:pPr>
    </w:p>
    <w:p w14:paraId="4D9FC304" w14:textId="77777777" w:rsidR="00D507AF" w:rsidRPr="00D507AF" w:rsidRDefault="00D507AF" w:rsidP="00D507AF">
      <w:pPr>
        <w:spacing w:after="15" w:line="241" w:lineRule="auto"/>
        <w:ind w:right="-15"/>
      </w:pPr>
      <w:r w:rsidRPr="00D507AF">
        <w:rPr>
          <w:b/>
        </w:rPr>
        <w:t xml:space="preserve">Voorbeeld:  </w:t>
      </w:r>
    </w:p>
    <w:p w14:paraId="05094799" w14:textId="77777777" w:rsidR="00D507AF" w:rsidRPr="00D507AF" w:rsidRDefault="00D507AF" w:rsidP="00D507AF">
      <w:r w:rsidRPr="00D507AF">
        <w:t xml:space="preserve">Je doet scheikundige proeven: de gewone gebruikelijke voorzichtigheid is voldoende, je zal niet iedereen speciale beschermkledij moeten geven. Gebeurt er toch een ongelukje: als je het gebruikelijke hebt gedaan, volstaat dat. </w:t>
      </w:r>
      <w:r w:rsidRPr="00D507AF">
        <w:tab/>
      </w:r>
    </w:p>
    <w:p w14:paraId="500C7593" w14:textId="77777777" w:rsidR="00D507AF" w:rsidRPr="00D507AF" w:rsidRDefault="00D507AF" w:rsidP="00D507AF"/>
    <w:p w14:paraId="09075CB3" w14:textId="77777777" w:rsidR="00D507AF" w:rsidRPr="00D507AF" w:rsidRDefault="00D507AF" w:rsidP="00D507AF"/>
    <w:p w14:paraId="7A7BFFC3" w14:textId="77777777" w:rsidR="00D507AF" w:rsidRPr="00D507AF" w:rsidRDefault="00D507AF" w:rsidP="00D507AF">
      <w:pPr>
        <w:numPr>
          <w:ilvl w:val="0"/>
          <w:numId w:val="4"/>
        </w:numPr>
        <w:rPr>
          <w:rFonts w:eastAsiaTheme="minorEastAsia"/>
          <w:color w:val="5A5A5A" w:themeColor="text1" w:themeTint="A5"/>
          <w:spacing w:val="15"/>
          <w:lang w:eastAsia="nl-BE"/>
        </w:rPr>
      </w:pPr>
      <w:r w:rsidRPr="00D507AF">
        <w:rPr>
          <w:rFonts w:eastAsiaTheme="minorEastAsia"/>
          <w:color w:val="5A5A5A" w:themeColor="text1" w:themeTint="A5"/>
          <w:spacing w:val="15"/>
          <w:lang w:eastAsia="nl-BE"/>
        </w:rPr>
        <w:t>Er moet schade zijn</w:t>
      </w:r>
    </w:p>
    <w:p w14:paraId="020FD9A6" w14:textId="77777777" w:rsidR="00D507AF" w:rsidRPr="00D507AF" w:rsidRDefault="00D507AF" w:rsidP="00D507AF">
      <w:r w:rsidRPr="00D507AF">
        <w:t xml:space="preserve">Schade kan zowel lichamelijk, materieel, financieel als moreel zijn. </w:t>
      </w:r>
      <w:r w:rsidRPr="00D507AF">
        <w:rPr>
          <w:i/>
        </w:rPr>
        <w:t>Materiele schade</w:t>
      </w:r>
      <w:r w:rsidRPr="00D507AF">
        <w:t xml:space="preserve"> is de schade die veroorzaakt wordt aan goederen</w:t>
      </w:r>
      <w:r w:rsidRPr="00D507AF">
        <w:rPr>
          <w:i/>
        </w:rPr>
        <w:t>. Financiële schade</w:t>
      </w:r>
      <w:r w:rsidRPr="00D507AF">
        <w:t xml:space="preserve"> slaat op het verlies van financiële voordelen. </w:t>
      </w:r>
      <w:r w:rsidRPr="00D507AF">
        <w:rPr>
          <w:i/>
        </w:rPr>
        <w:t>Lichamelijke schade</w:t>
      </w:r>
      <w:r w:rsidRPr="00D507AF">
        <w:t xml:space="preserve"> is veroorzaakt lichamelijk letsel. </w:t>
      </w:r>
      <w:r w:rsidRPr="00D507AF">
        <w:rPr>
          <w:i/>
        </w:rPr>
        <w:t>Morele schade</w:t>
      </w:r>
      <w:r w:rsidRPr="00D507AF">
        <w:t xml:space="preserve"> betreft het psychische aspect ten gevolge van de opgelopen ‘andere’ schade of het toegebrachte leed. Men spreekt hier van ‘smartengeld.’ Morele schade berokkent het slachtoffer een verlies dat niet precies te berekenen is. </w:t>
      </w:r>
    </w:p>
    <w:p w14:paraId="351D67E2" w14:textId="77777777" w:rsidR="00D507AF" w:rsidRPr="00D507AF" w:rsidRDefault="00D507AF" w:rsidP="00D507AF">
      <w:pPr>
        <w:spacing w:after="15" w:line="241" w:lineRule="auto"/>
        <w:ind w:right="-15"/>
      </w:pPr>
      <w:r w:rsidRPr="00D507AF">
        <w:rPr>
          <w:b/>
        </w:rPr>
        <w:t xml:space="preserve">Voorbeeld:  </w:t>
      </w:r>
    </w:p>
    <w:p w14:paraId="442713E2" w14:textId="77777777" w:rsidR="00D507AF" w:rsidRPr="00D507AF" w:rsidRDefault="00D507AF" w:rsidP="00D507AF">
      <w:r w:rsidRPr="00D507AF">
        <w:t xml:space="preserve">Tijdens een schoolreis houdt de schoolbus even halte bij een wegstation voor een sanitaire stop. Bij het wegrijden wordt een van de 12-jarige leerlingen achtergelaten. Voor de doorstane schrik kan een morele schadevergoeding worden gevraagd. </w:t>
      </w:r>
    </w:p>
    <w:p w14:paraId="2A329A39" w14:textId="77777777" w:rsidR="00D507AF" w:rsidRPr="00D507AF" w:rsidRDefault="00D507AF" w:rsidP="00D507AF"/>
    <w:p w14:paraId="72533D5E" w14:textId="77777777" w:rsidR="00D507AF" w:rsidRPr="00D507AF" w:rsidRDefault="00D507AF" w:rsidP="00D507AF">
      <w:pPr>
        <w:numPr>
          <w:ilvl w:val="0"/>
          <w:numId w:val="4"/>
        </w:numPr>
        <w:rPr>
          <w:rFonts w:eastAsiaTheme="minorEastAsia"/>
          <w:color w:val="5A5A5A" w:themeColor="text1" w:themeTint="A5"/>
          <w:spacing w:val="15"/>
          <w:lang w:eastAsia="nl-BE"/>
        </w:rPr>
      </w:pPr>
      <w:r w:rsidRPr="00D507AF">
        <w:rPr>
          <w:rFonts w:eastAsiaTheme="minorEastAsia"/>
          <w:color w:val="5A5A5A" w:themeColor="text1" w:themeTint="A5"/>
          <w:spacing w:val="15"/>
          <w:lang w:eastAsia="nl-BE"/>
        </w:rPr>
        <w:t>Er moet een oorzakelijk verband zijn tussen de fout en de schade aan derden</w:t>
      </w:r>
    </w:p>
    <w:p w14:paraId="7E6635FB" w14:textId="77777777" w:rsidR="00D507AF" w:rsidRPr="00D507AF" w:rsidRDefault="00D507AF" w:rsidP="00D507AF">
      <w:pPr>
        <w:spacing w:after="12" w:line="237" w:lineRule="auto"/>
        <w:ind w:right="17"/>
      </w:pPr>
      <w:r w:rsidRPr="00D507AF">
        <w:t xml:space="preserve">Dit wil in eerste instantie zeggen dat de fout oorzaak is van de schade. De fout moet echter niet alleen oorzaak zijn van de schade, het moet gaan om een fout zonder dewelke de schade zich niet zou hebben voorgedaan zoals ze zich heeft voorgedaan. </w:t>
      </w:r>
    </w:p>
    <w:p w14:paraId="3231E1AF" w14:textId="77777777" w:rsidR="00D507AF" w:rsidRPr="00D507AF" w:rsidRDefault="00D507AF" w:rsidP="00D507AF"/>
    <w:p w14:paraId="3EABC806" w14:textId="77777777" w:rsidR="00D507AF" w:rsidRPr="00D507AF" w:rsidRDefault="00D507AF" w:rsidP="00D507AF">
      <w:pPr>
        <w:pBdr>
          <w:top w:val="single" w:sz="4" w:space="0" w:color="000000"/>
          <w:left w:val="single" w:sz="4" w:space="0" w:color="000000"/>
          <w:bottom w:val="single" w:sz="4" w:space="0" w:color="000000"/>
          <w:right w:val="single" w:sz="4" w:space="0" w:color="000000"/>
        </w:pBdr>
        <w:spacing w:after="9" w:line="231" w:lineRule="auto"/>
        <w:ind w:left="1418" w:right="747" w:hanging="2"/>
      </w:pPr>
      <w:r w:rsidRPr="00D507AF">
        <w:t xml:space="preserve">HET IS AAN HET SLACHTOFFER OM DE DRIE BOVENSTAANDE ELEMENTENTE BEWIJZEN. </w:t>
      </w:r>
    </w:p>
    <w:p w14:paraId="5F2552AA" w14:textId="77777777" w:rsidR="00D507AF" w:rsidRPr="00D507AF" w:rsidRDefault="00D507AF" w:rsidP="00D507AF">
      <w:pPr>
        <w:pBdr>
          <w:top w:val="single" w:sz="4" w:space="0" w:color="000000"/>
          <w:left w:val="single" w:sz="4" w:space="0" w:color="000000"/>
          <w:bottom w:val="single" w:sz="4" w:space="0" w:color="000000"/>
          <w:right w:val="single" w:sz="4" w:space="0" w:color="000000"/>
        </w:pBdr>
        <w:spacing w:after="114" w:line="233" w:lineRule="auto"/>
        <w:ind w:left="1418" w:right="747" w:hanging="2"/>
      </w:pPr>
      <w:r w:rsidRPr="00D507AF">
        <w:t xml:space="preserve">EENS HET SLACHTOFFER DIE DRIE BOVENSTAANDE ELEMENTEN HEEFT BEWEZEN, KOMT DE ALGEMENE BURGERLIJKE AANSPRAKELIJKHEID VAN DE DADER IN HET GEDING. DIT NOEMEN WE HET WEERLEGBAAR VERMOEDEN. </w:t>
      </w:r>
    </w:p>
    <w:p w14:paraId="35E11E59" w14:textId="77777777" w:rsidR="00D507AF" w:rsidRPr="00D507AF" w:rsidRDefault="00D507AF" w:rsidP="00D507AF"/>
    <w:p w14:paraId="185606F7" w14:textId="77777777" w:rsidR="00D507AF" w:rsidRPr="00D507AF" w:rsidRDefault="00D507AF" w:rsidP="00D507AF">
      <w:pPr>
        <w:keepNext/>
        <w:keepLines/>
        <w:numPr>
          <w:ilvl w:val="1"/>
          <w:numId w:val="3"/>
        </w:numPr>
        <w:spacing w:before="40" w:after="0"/>
        <w:outlineLvl w:val="1"/>
        <w:rPr>
          <w:rFonts w:asciiTheme="majorHAnsi" w:eastAsiaTheme="majorEastAsia" w:hAnsiTheme="majorHAnsi" w:cstheme="majorBidi"/>
          <w:color w:val="2E74B5" w:themeColor="accent1" w:themeShade="BF"/>
          <w:sz w:val="26"/>
          <w:szCs w:val="26"/>
          <w:lang w:eastAsia="nl-BE"/>
        </w:rPr>
      </w:pPr>
      <w:bookmarkStart w:id="4" w:name="_Toc505861919"/>
      <w:r w:rsidRPr="00D507AF">
        <w:rPr>
          <w:rFonts w:asciiTheme="majorHAnsi" w:eastAsiaTheme="majorEastAsia" w:hAnsiTheme="majorHAnsi" w:cstheme="majorBidi"/>
          <w:color w:val="2E74B5" w:themeColor="accent1" w:themeShade="BF"/>
          <w:sz w:val="26"/>
          <w:szCs w:val="26"/>
          <w:lang w:eastAsia="nl-BE"/>
        </w:rPr>
        <w:t>De specifieke burgerlijke aansprakelijkheid (SBA) van de leerkracht</w:t>
      </w:r>
      <w:bookmarkEnd w:id="4"/>
    </w:p>
    <w:p w14:paraId="3755E1E9" w14:textId="77777777" w:rsidR="00D507AF" w:rsidRPr="00D507AF" w:rsidRDefault="00D507AF" w:rsidP="00D507AF"/>
    <w:p w14:paraId="74C8799D" w14:textId="77777777" w:rsidR="00D507AF" w:rsidRPr="00D507AF" w:rsidRDefault="00D507AF" w:rsidP="00D507AF">
      <w:r w:rsidRPr="00D507AF">
        <w:rPr>
          <w:b/>
          <w:bCs/>
        </w:rPr>
        <w:t>Specifieke burgerlijke aansprakelijkheid</w:t>
      </w:r>
      <w:r w:rsidRPr="00D507AF">
        <w:t xml:space="preserve"> heeft geen betrekking op jou, maar wel op daden van (een) leerling(en) die onder jouw toezicht staat. Het feit dat de leerling meerderjarig is, speelt geen enkele </w:t>
      </w:r>
      <w:r w:rsidRPr="00D507AF">
        <w:lastRenderedPageBreak/>
        <w:t>rol in dit verhaal. Je bent namelijk altijd aansprakelijk in dit geval, tenzij je erin slaagt het tegendeel te bewijzen.</w:t>
      </w:r>
    </w:p>
    <w:p w14:paraId="49EE714C" w14:textId="77777777" w:rsidR="00D507AF" w:rsidRPr="00D507AF" w:rsidRDefault="00D507AF" w:rsidP="00D507AF">
      <w:r w:rsidRPr="00D507AF">
        <w:t xml:space="preserve">In principe begint de burgerlijke aansprakelijkheid van het schoolpersoneel en van het schoolbestuur zodra de leerlingen de school betreden en eindigt ze op het ogenblik dat de leerlingen de school verlaten. Meestal wordt in het schoolreglement omschreven wanneer de school haar verantwoordelijkheid (weer) aan de ouders overdraagt. </w:t>
      </w:r>
    </w:p>
    <w:p w14:paraId="5B7D54CA" w14:textId="77777777" w:rsidR="00D507AF" w:rsidRPr="00D507AF" w:rsidRDefault="00D507AF" w:rsidP="00D507AF">
      <w:r w:rsidRPr="00D507AF">
        <w:rPr>
          <w:i/>
        </w:rPr>
        <w:t xml:space="preserve">Let op: </w:t>
      </w:r>
      <w:r w:rsidRPr="00D507AF">
        <w:t xml:space="preserve">De </w:t>
      </w:r>
      <w:r w:rsidRPr="00D507AF">
        <w:rPr>
          <w:u w:val="single" w:color="000000"/>
        </w:rPr>
        <w:t>ouders</w:t>
      </w:r>
      <w:r w:rsidRPr="00D507AF">
        <w:t xml:space="preserve"> zijn dus enkel burgerlijk aansprakelijk voor de schade die wordt veroorzaakt door hun </w:t>
      </w:r>
      <w:r w:rsidRPr="00D507AF">
        <w:rPr>
          <w:u w:val="single" w:color="000000"/>
        </w:rPr>
        <w:t>minderjarige kinderen</w:t>
      </w:r>
      <w:r w:rsidRPr="00D507AF">
        <w:t xml:space="preserve"> terwijl </w:t>
      </w:r>
      <w:r w:rsidRPr="00D507AF">
        <w:rPr>
          <w:u w:val="single" w:color="000000"/>
        </w:rPr>
        <w:t xml:space="preserve">leerkrachten </w:t>
      </w:r>
      <w:r w:rsidRPr="00D507AF">
        <w:t xml:space="preserve">burgerlijk aansprakelijk zijn </w:t>
      </w:r>
      <w:r w:rsidRPr="00D507AF">
        <w:rPr>
          <w:u w:val="single" w:color="000000"/>
        </w:rPr>
        <w:t>voor deze die onder hun</w:t>
      </w:r>
      <w:r w:rsidRPr="00D507AF">
        <w:t xml:space="preserve"> </w:t>
      </w:r>
      <w:r w:rsidRPr="00D507AF">
        <w:rPr>
          <w:u w:val="single" w:color="000000"/>
        </w:rPr>
        <w:t>toezicht</w:t>
      </w:r>
      <w:r w:rsidRPr="00D507AF">
        <w:t xml:space="preserve"> staan.</w:t>
      </w:r>
    </w:p>
    <w:p w14:paraId="722A9D99" w14:textId="77777777" w:rsidR="00D507AF" w:rsidRPr="00D507AF" w:rsidRDefault="00D507AF" w:rsidP="00D507AF"/>
    <w:p w14:paraId="67ECFD14" w14:textId="77777777" w:rsidR="00D507AF" w:rsidRPr="00D507AF" w:rsidRDefault="00D507AF" w:rsidP="00D507AF">
      <w:r w:rsidRPr="00D507AF">
        <w:t xml:space="preserve">Het </w:t>
      </w:r>
      <w:r w:rsidRPr="00D507AF">
        <w:rPr>
          <w:b/>
        </w:rPr>
        <w:t>verschil</w:t>
      </w:r>
      <w:r w:rsidRPr="00D507AF">
        <w:t xml:space="preserve"> tussen de algemene burgerlijke aansprakelijkheid en de specifieke burgerlijke aansprakelijkheid zit dus voornamelijk in </w:t>
      </w:r>
      <w:r w:rsidRPr="00D507AF">
        <w:rPr>
          <w:b/>
        </w:rPr>
        <w:t>de persoon</w:t>
      </w:r>
      <w:r w:rsidRPr="00D507AF">
        <w:t xml:space="preserve"> die de fout heeft begaan! Want in beide situaties moet worden aangetoond met bewijslast (door het slachtoffer (ABA) of door de leerkracht (SBA)) dat er sprake is van schade én dat deze – morele, fysieke of materiële – schade veroorzaakt werd door de fout (directe daad, nalatigheid of onvoorzichtigheid) van de leerkracht of door de fout van de leerling onder toezicht!</w:t>
      </w:r>
    </w:p>
    <w:p w14:paraId="09B5C3E8" w14:textId="77777777" w:rsidR="00D507AF" w:rsidRPr="00D507AF" w:rsidRDefault="00D507AF" w:rsidP="00D507AF">
      <w:r w:rsidRPr="00D507AF">
        <w:t xml:space="preserve">Buiten de drie aangehaalde voorwaarden voor algemene burgerlijke aansprakelijkheid (Fout – schade – oorzakelijk verband) zijn er dus nog twee bijkomende voorwaarden vereist opdat de leerkracht specifiek burgerlijk aansprakelijk zou kunnen gesteld worden. </w:t>
      </w:r>
    </w:p>
    <w:p w14:paraId="1D295461" w14:textId="77777777" w:rsidR="00D507AF" w:rsidRPr="00D507AF" w:rsidRDefault="00D507AF" w:rsidP="00D507AF"/>
    <w:p w14:paraId="5596D073" w14:textId="77777777" w:rsidR="00D507AF" w:rsidRPr="00D507AF" w:rsidRDefault="00D507AF" w:rsidP="00D507AF">
      <w:pPr>
        <w:numPr>
          <w:ilvl w:val="0"/>
          <w:numId w:val="4"/>
        </w:numPr>
        <w:rPr>
          <w:rFonts w:eastAsiaTheme="minorEastAsia"/>
          <w:color w:val="5A5A5A" w:themeColor="text1" w:themeTint="A5"/>
          <w:spacing w:val="15"/>
          <w:lang w:eastAsia="nl-BE"/>
        </w:rPr>
      </w:pPr>
      <w:r w:rsidRPr="00D507AF">
        <w:rPr>
          <w:rFonts w:eastAsiaTheme="minorEastAsia"/>
          <w:color w:val="5A5A5A" w:themeColor="text1" w:themeTint="A5"/>
          <w:spacing w:val="15"/>
          <w:lang w:eastAsia="nl-BE"/>
        </w:rPr>
        <w:t>Er moet een relatie leerkracht – leerling zijn</w:t>
      </w:r>
    </w:p>
    <w:p w14:paraId="15C7A2FF" w14:textId="77777777" w:rsidR="00D507AF" w:rsidRPr="00D507AF" w:rsidRDefault="00D507AF" w:rsidP="00D507AF">
      <w:r w:rsidRPr="00D507AF">
        <w:t>Enkel</w:t>
      </w:r>
      <w:r w:rsidRPr="00D507AF">
        <w:rPr>
          <w:b/>
        </w:rPr>
        <w:t xml:space="preserve"> </w:t>
      </w:r>
      <w:r w:rsidRPr="00D507AF">
        <w:t xml:space="preserve">leerlingen die tot de onderwijsinstelling behoren waar de leerkracht is tewerkgesteld, worden beschouwd als ‘leerlingen’, ongeacht of ze minder- of meerderjarig zijn. De wet zegt immers nergens uitdrukkelijk dat de leerlingen minderjarig moeten zijn, dit in tegenstelling tot de aansprakelijkheid van ouders die ophoudt bij de meerderjarigheid van hun kinderen en die zo letterlijk in de wet is opgenomen. </w:t>
      </w:r>
    </w:p>
    <w:p w14:paraId="26C4D499" w14:textId="77777777" w:rsidR="00D507AF" w:rsidRPr="00D507AF" w:rsidRDefault="00D507AF" w:rsidP="00D507AF">
      <w:r w:rsidRPr="00D507AF">
        <w:t xml:space="preserve">Indien het meerderjarige leerlingen betreft, vermindert echter de aansprakelijkheid van de toezichthouders.  </w:t>
      </w:r>
    </w:p>
    <w:p w14:paraId="681CC1C1" w14:textId="77777777" w:rsidR="00D507AF" w:rsidRPr="00D507AF" w:rsidRDefault="00D507AF" w:rsidP="00D507AF">
      <w:r w:rsidRPr="00D507AF">
        <w:t xml:space="preserve">De hoven en rechtbanken gaan ervan uit dat oudere leerlingen een groter verantwoordelijkheidsgevoel moeten hebben en zelf voor een aantal daden kunnen instaan. De (mentale) leeftijd van de leerlingen kan ook als argument worden gehanteerd bij het bepalen van wanneer iets als ‘fout’ wordt beschouwd. Een kind van vier dat een ander kind verwondt met een schaar die door de leerkracht binnen handbereik was laten liggen, beschikt nog niet over het mentale vermogen de gevolgen van zijn daad in te schatten. Van een leerling van zestien (indien normaal begaafd) mag dit inschattingsvermogen zeker wel worden verwacht. </w:t>
      </w:r>
    </w:p>
    <w:p w14:paraId="3241F097" w14:textId="77777777" w:rsidR="00D507AF" w:rsidRPr="00D507AF" w:rsidRDefault="00D507AF" w:rsidP="00D507AF"/>
    <w:p w14:paraId="26B7A4C7" w14:textId="77777777" w:rsidR="00D507AF" w:rsidRPr="00D507AF" w:rsidRDefault="00D507AF" w:rsidP="00D507AF">
      <w:pPr>
        <w:numPr>
          <w:ilvl w:val="0"/>
          <w:numId w:val="4"/>
        </w:numPr>
        <w:rPr>
          <w:rFonts w:eastAsiaTheme="minorEastAsia"/>
          <w:color w:val="5A5A5A" w:themeColor="text1" w:themeTint="A5"/>
          <w:spacing w:val="15"/>
          <w:lang w:eastAsia="nl-BE"/>
        </w:rPr>
      </w:pPr>
      <w:r w:rsidRPr="00D507AF">
        <w:rPr>
          <w:rFonts w:eastAsiaTheme="minorEastAsia"/>
          <w:color w:val="5A5A5A" w:themeColor="text1" w:themeTint="A5"/>
          <w:spacing w:val="15"/>
          <w:lang w:eastAsia="nl-BE"/>
        </w:rPr>
        <w:t xml:space="preserve">De daad die aanleiding heeft gegeven tot de veroorzaakte schade gebeurde op een moment dat de leerling onder toezicht stond van die leerkracht </w:t>
      </w:r>
    </w:p>
    <w:p w14:paraId="6E392A8D" w14:textId="77777777" w:rsidR="00D507AF" w:rsidRPr="00D507AF" w:rsidRDefault="00D507AF" w:rsidP="00D507AF">
      <w:r w:rsidRPr="00D507AF">
        <w:t xml:space="preserve">Ook voor de specifieke burgerlijke aansprakelijkheid geldt de bewijslast, m.a.w. de klager moet bewijzen dat de leerling een fout beging die tot schade heeft geleid aan derden en dit terwijl hij als </w:t>
      </w:r>
      <w:r w:rsidRPr="00D507AF">
        <w:lastRenderedPageBreak/>
        <w:t xml:space="preserve">leerling onder toezicht stond van een leerkracht. Anderzijds is het duidelijk aan de leerkracht om te bewijzen dat hij niet in de fout is gegaan. </w:t>
      </w:r>
    </w:p>
    <w:p w14:paraId="22224F45" w14:textId="77777777" w:rsidR="00D507AF" w:rsidRPr="00D507AF" w:rsidRDefault="00D507AF" w:rsidP="00D507AF">
      <w:pPr>
        <w:spacing w:after="15" w:line="241" w:lineRule="auto"/>
        <w:ind w:right="-15"/>
      </w:pPr>
      <w:r w:rsidRPr="00D507AF">
        <w:rPr>
          <w:b/>
        </w:rPr>
        <w:t xml:space="preserve">Wat betekent dit alles nu concreet voor de leerkracht in de uitoefening van zijn functie ? </w:t>
      </w:r>
    </w:p>
    <w:p w14:paraId="1947E136" w14:textId="77777777" w:rsidR="00D507AF" w:rsidRPr="00D507AF" w:rsidRDefault="00D507AF" w:rsidP="00D507AF">
      <w:pPr>
        <w:spacing w:after="0" w:line="240" w:lineRule="auto"/>
      </w:pPr>
      <w:r w:rsidRPr="00D507AF">
        <w:t xml:space="preserve"> </w:t>
      </w:r>
    </w:p>
    <w:p w14:paraId="7597919B" w14:textId="77777777" w:rsidR="00D507AF" w:rsidRPr="00D507AF" w:rsidRDefault="00D507AF" w:rsidP="00D507AF">
      <w:r w:rsidRPr="00D507AF">
        <w:t xml:space="preserve">De hoven en rechtbanken stellen dat het toezicht dat de leerkracht uitoefent </w:t>
      </w:r>
      <w:r w:rsidRPr="00D507AF">
        <w:rPr>
          <w:i/>
        </w:rPr>
        <w:t>voortdurend</w:t>
      </w:r>
      <w:r w:rsidRPr="00D507AF">
        <w:t xml:space="preserve"> en </w:t>
      </w:r>
      <w:r w:rsidRPr="00D507AF">
        <w:rPr>
          <w:i/>
        </w:rPr>
        <w:t>deugdelijk</w:t>
      </w:r>
      <w:r w:rsidRPr="00D507AF">
        <w:t xml:space="preserve"> moet zijn. </w:t>
      </w:r>
    </w:p>
    <w:p w14:paraId="52B9E1F7" w14:textId="77777777" w:rsidR="00D507AF" w:rsidRPr="00D507AF" w:rsidRDefault="00D507AF" w:rsidP="00D507AF">
      <w:r w:rsidRPr="00D507AF">
        <w:rPr>
          <w:i/>
        </w:rPr>
        <w:t>Voortdurend</w:t>
      </w:r>
      <w:r w:rsidRPr="00D507AF">
        <w:t xml:space="preserve"> wil zeggen dat de leerkracht zijn plaats niet mag verlaten om nadien nog even te komen kijken of alles nog in orde is; er dient sprake te zijn van een continuïteit in het toezicht houden. </w:t>
      </w:r>
      <w:r w:rsidRPr="00D507AF">
        <w:rPr>
          <w:i/>
        </w:rPr>
        <w:t xml:space="preserve">Deugdelijk </w:t>
      </w:r>
      <w:r w:rsidRPr="00D507AF">
        <w:t xml:space="preserve">wil zeggen dat de leerkracht effectief toezicht moet uitoefenen, d.w.z. daadwerkelijk de leerlingen in de gaten moet houden; het toezicht moet actief en met aandacht gebeuren. Men moet kunnen tussenkomen bij vechtpartijen, gevaarlijke spelletjes enz. </w:t>
      </w:r>
    </w:p>
    <w:p w14:paraId="401EA7E8" w14:textId="77777777" w:rsidR="00D507AF" w:rsidRPr="00D507AF" w:rsidRDefault="00D507AF" w:rsidP="00D507AF">
      <w:r w:rsidRPr="00D507AF">
        <w:t xml:space="preserve">Wanneer verschillende personen tegelijkertijd toezicht doen, kunnen zij samen aansprakelijk worden gesteld. </w:t>
      </w:r>
    </w:p>
    <w:p w14:paraId="731C4DB0" w14:textId="77777777" w:rsidR="00D507AF" w:rsidRPr="00D507AF" w:rsidRDefault="00D507AF" w:rsidP="00D507AF">
      <w:r w:rsidRPr="00D507AF">
        <w:t xml:space="preserve">Ook is het van belang te weten dat de rechtbank kan oordelen dat zowel de ouders, als de leerkracht als de school samen aansprakelijk zijn voor fouten gemaakt door de leerlingen waardoor zij samen gehouden zijn de schade te vergoeden. Nochtans kan de schadelijder de vergoeding van de opgelopen schade van een van de partijen vorderen; de betalende partij kan dan nadien het aandeel van de ander(en) terugvorderen. </w:t>
      </w:r>
    </w:p>
    <w:p w14:paraId="1FDD540C" w14:textId="77777777" w:rsidR="00D507AF" w:rsidRPr="00D507AF" w:rsidRDefault="00D507AF" w:rsidP="00D507AF"/>
    <w:p w14:paraId="08EE149F" w14:textId="77777777" w:rsidR="00D507AF" w:rsidRPr="00D507AF" w:rsidRDefault="00D507AF" w:rsidP="00D507AF">
      <w:pPr>
        <w:keepNext/>
        <w:keepLines/>
        <w:numPr>
          <w:ilvl w:val="1"/>
          <w:numId w:val="3"/>
        </w:numPr>
        <w:spacing w:before="40" w:after="0"/>
        <w:outlineLvl w:val="1"/>
        <w:rPr>
          <w:rFonts w:asciiTheme="majorHAnsi" w:eastAsiaTheme="majorEastAsia" w:hAnsiTheme="majorHAnsi" w:cstheme="majorBidi"/>
          <w:color w:val="2E74B5" w:themeColor="accent1" w:themeShade="BF"/>
          <w:sz w:val="26"/>
          <w:szCs w:val="26"/>
          <w:lang w:eastAsia="nl-BE"/>
        </w:rPr>
      </w:pPr>
      <w:bookmarkStart w:id="5" w:name="_Toc505861920"/>
      <w:r w:rsidRPr="00D507AF">
        <w:rPr>
          <w:rFonts w:asciiTheme="majorHAnsi" w:eastAsiaTheme="majorEastAsia" w:hAnsiTheme="majorHAnsi" w:cstheme="majorBidi"/>
          <w:color w:val="2E74B5" w:themeColor="accent1" w:themeShade="BF"/>
          <w:sz w:val="26"/>
          <w:szCs w:val="26"/>
          <w:lang w:eastAsia="nl-BE"/>
        </w:rPr>
        <w:t>De specifieke burgerlijke aansprakelijkheid (SBA) van het schoolbestuur</w:t>
      </w:r>
      <w:bookmarkEnd w:id="5"/>
    </w:p>
    <w:p w14:paraId="3099DD72" w14:textId="77777777" w:rsidR="00D507AF" w:rsidRPr="00D507AF" w:rsidRDefault="00D507AF" w:rsidP="00D507AF"/>
    <w:p w14:paraId="19D13569" w14:textId="77777777" w:rsidR="00D507AF" w:rsidRPr="00D507AF" w:rsidRDefault="00D507AF" w:rsidP="00D507AF">
      <w:pPr>
        <w:autoSpaceDE w:val="0"/>
        <w:autoSpaceDN w:val="0"/>
        <w:adjustRightInd w:val="0"/>
        <w:spacing w:line="240" w:lineRule="auto"/>
        <w:rPr>
          <w:rFonts w:cs="Arial"/>
        </w:rPr>
      </w:pPr>
      <w:r w:rsidRPr="00D507AF">
        <w:rPr>
          <w:rFonts w:cs="Arial"/>
        </w:rPr>
        <w:t xml:space="preserve">Naast de algemene én specifieke aansprakelijkheid van een personeelslid in het onderwijs, kan ook het </w:t>
      </w:r>
      <w:r w:rsidRPr="00D507AF">
        <w:rPr>
          <w:rFonts w:cs="Arial"/>
          <w:b/>
          <w:i/>
        </w:rPr>
        <w:t>schoolbestuur aansprakelijk gesteld worden</w:t>
      </w:r>
      <w:r w:rsidRPr="00D507AF">
        <w:rPr>
          <w:rFonts w:cs="Arial"/>
        </w:rPr>
        <w:t xml:space="preserve"> én dit in twee situaties:</w:t>
      </w:r>
    </w:p>
    <w:p w14:paraId="09FAAC34" w14:textId="77777777" w:rsidR="00D507AF" w:rsidRPr="00D507AF" w:rsidRDefault="00D507AF" w:rsidP="00D507AF">
      <w:pPr>
        <w:autoSpaceDE w:val="0"/>
        <w:autoSpaceDN w:val="0"/>
        <w:adjustRightInd w:val="0"/>
        <w:spacing w:line="240" w:lineRule="auto"/>
        <w:rPr>
          <w:rFonts w:cs="Arial"/>
          <w:b/>
          <w:i/>
        </w:rPr>
      </w:pPr>
      <w:r w:rsidRPr="00D507AF">
        <w:rPr>
          <w:rFonts w:cs="Arial"/>
        </w:rPr>
        <w:br/>
        <w:t xml:space="preserve">1. </w:t>
      </w:r>
      <w:r w:rsidRPr="00D507AF">
        <w:rPr>
          <w:rFonts w:cs="Arial"/>
          <w:b/>
          <w:i/>
        </w:rPr>
        <w:t>als werkgever</w:t>
      </w:r>
      <w:r w:rsidRPr="00D507AF">
        <w:rPr>
          <w:rFonts w:cs="Arial"/>
        </w:rPr>
        <w:t xml:space="preserve">, </w:t>
      </w:r>
      <w:r w:rsidRPr="00D507AF">
        <w:rPr>
          <w:rFonts w:cs="Arial"/>
          <w:b/>
          <w:i/>
        </w:rPr>
        <w:t>verantwoordelijk voor de fouten begaan door de personen onder zijn gezag:</w:t>
      </w:r>
    </w:p>
    <w:p w14:paraId="70ACFD10" w14:textId="77777777" w:rsidR="00D507AF" w:rsidRPr="00D507AF" w:rsidRDefault="00D507AF" w:rsidP="00D507AF">
      <w:pPr>
        <w:autoSpaceDE w:val="0"/>
        <w:autoSpaceDN w:val="0"/>
        <w:adjustRightInd w:val="0"/>
        <w:spacing w:line="240" w:lineRule="auto"/>
        <w:rPr>
          <w:rFonts w:cs="Arial"/>
        </w:rPr>
      </w:pPr>
      <w:r w:rsidRPr="00D507AF">
        <w:rPr>
          <w:rFonts w:cs="Arial"/>
        </w:rPr>
        <w:t>Wanneer een personeelslid  bij de uitoefening van zijn opdracht zijn eigen schoolbestuur (werkgever) of derden schade berokkent, is hij niet burgerlijk aansprakelijk voor  een eerder toevallige en lichte fout. Voor lichte schuld is hij wel aansprakelijk als die bij hem veeleer gewoonlijk dan toevallig voorkomt.  Het betreft hier zowel de schade aan de persoon en de goederen van de ‘werkgever’ (schoolbestuur) als derden (leerlingen, collega’s, ouders, ...). Kan de benadeelde - de persoon die de schade heeft geleden - de zware of de herhaalde lichte schuld van het personeelslid niet bewijzen, dan is het schoolbestuur (inrichtende macht) dat het personeelslid aangesteld heeft burgerlijk aansprakelijk, alleen en voor de gehele schade. In het andere geval - dat het oorzakelijk verband tussen daad en schade wel kan bewezen worden kunnen het schoolbestuur en het personeelslid elk voor een gedeelte aansprakelijk gesteld worden, maar het schoolbestuur (of de verzekeraar) kan, na vergoeding van de benadeelde, het betaalde terugvorderen van het personeelslid.</w:t>
      </w:r>
    </w:p>
    <w:p w14:paraId="3775352A" w14:textId="77777777" w:rsidR="00D507AF" w:rsidRPr="00D507AF" w:rsidRDefault="00D507AF" w:rsidP="00D507AF">
      <w:pPr>
        <w:autoSpaceDE w:val="0"/>
        <w:autoSpaceDN w:val="0"/>
        <w:adjustRightInd w:val="0"/>
        <w:spacing w:line="240" w:lineRule="auto"/>
        <w:rPr>
          <w:rFonts w:cs="Arial"/>
        </w:rPr>
      </w:pPr>
      <w:r w:rsidRPr="00D507AF">
        <w:rPr>
          <w:rFonts w:cs="Arial"/>
        </w:rPr>
        <w:t>Wanneer een leerling een fout begaat met schade tot gevolg kan het schoolbestuur samen met het toezichtplichtige personeelslid aansprakelijk gesteld worden.</w:t>
      </w:r>
    </w:p>
    <w:p w14:paraId="26856AE5" w14:textId="77777777" w:rsidR="00D507AF" w:rsidRPr="00D507AF" w:rsidRDefault="00D507AF" w:rsidP="00D507AF">
      <w:pPr>
        <w:autoSpaceDE w:val="0"/>
        <w:autoSpaceDN w:val="0"/>
        <w:adjustRightInd w:val="0"/>
        <w:spacing w:line="240" w:lineRule="auto"/>
        <w:rPr>
          <w:rFonts w:cs="Arial"/>
        </w:rPr>
      </w:pPr>
    </w:p>
    <w:p w14:paraId="6762967A" w14:textId="77777777" w:rsidR="00D507AF" w:rsidRPr="00D507AF" w:rsidRDefault="00D507AF" w:rsidP="00D507AF">
      <w:pPr>
        <w:autoSpaceDE w:val="0"/>
        <w:autoSpaceDN w:val="0"/>
        <w:adjustRightInd w:val="0"/>
        <w:spacing w:line="240" w:lineRule="auto"/>
        <w:rPr>
          <w:rFonts w:cs="Arial"/>
        </w:rPr>
      </w:pPr>
      <w:r w:rsidRPr="00D507AF">
        <w:rPr>
          <w:rFonts w:cs="Arial"/>
        </w:rPr>
        <w:t xml:space="preserve">2. </w:t>
      </w:r>
      <w:r w:rsidRPr="00D507AF">
        <w:rPr>
          <w:rFonts w:cs="Arial"/>
          <w:b/>
          <w:i/>
        </w:rPr>
        <w:t>als bewaarder van een gebrekkige zaak</w:t>
      </w:r>
      <w:r w:rsidRPr="00D507AF">
        <w:rPr>
          <w:rFonts w:cs="Arial"/>
        </w:rPr>
        <w:t xml:space="preserve">: </w:t>
      </w:r>
      <w:r w:rsidRPr="00D507AF">
        <w:rPr>
          <w:rFonts w:cs="Arial"/>
        </w:rPr>
        <w:br/>
        <w:t xml:space="preserve">De eigenaar van een gebouw is immers aansprakelijk voor de schade veroorzaakt door het gebouw, meer bepaald wanneer deze schade te wijten is aan verzuim van onderhoud of aan een gebrek in de bouw. Zo zal de burgerlijke aansprakelijkheid van een schoolbestuur bijvoorbeeld in het geding </w:t>
      </w:r>
      <w:r w:rsidRPr="00D507AF">
        <w:rPr>
          <w:rFonts w:cs="Arial"/>
        </w:rPr>
        <w:lastRenderedPageBreak/>
        <w:t>komen bij schade veroorzaakt door:</w:t>
      </w:r>
      <w:r w:rsidRPr="00D507AF">
        <w:rPr>
          <w:rFonts w:cs="Arial"/>
        </w:rPr>
        <w:br/>
      </w:r>
      <w:r w:rsidRPr="00D507AF">
        <w:rPr>
          <w:rFonts w:cs="Arial"/>
        </w:rPr>
        <w:tab/>
        <w:t>– gebouwen en toebehoren;</w:t>
      </w:r>
      <w:r w:rsidRPr="00D507AF">
        <w:rPr>
          <w:rFonts w:cs="Arial"/>
        </w:rPr>
        <w:br/>
      </w:r>
      <w:r w:rsidRPr="00D507AF">
        <w:rPr>
          <w:rFonts w:cs="Arial"/>
        </w:rPr>
        <w:tab/>
        <w:t>– schoolse uitrusting: meubilair, werktuigen, instrumenten, toestellen,e.a.;</w:t>
      </w:r>
      <w:r w:rsidRPr="00D507AF">
        <w:rPr>
          <w:rFonts w:cs="Arial"/>
        </w:rPr>
        <w:br/>
      </w:r>
      <w:r w:rsidRPr="00D507AF">
        <w:rPr>
          <w:rFonts w:cs="Arial"/>
        </w:rPr>
        <w:tab/>
        <w:t>– dranken en spijzen, door de school bereid of ter beschikking gesteld;</w:t>
      </w:r>
      <w:r w:rsidRPr="00D507AF">
        <w:rPr>
          <w:rFonts w:cs="Arial"/>
        </w:rPr>
        <w:br/>
        <w:t>omwille van:</w:t>
      </w:r>
      <w:r w:rsidRPr="00D507AF">
        <w:rPr>
          <w:rFonts w:cs="Arial"/>
        </w:rPr>
        <w:br/>
        <w:t>– een gebrek aan onderhoud;</w:t>
      </w:r>
      <w:r w:rsidRPr="00D507AF">
        <w:rPr>
          <w:rFonts w:cs="Arial"/>
        </w:rPr>
        <w:br/>
        <w:t>– een fout of gebrek;</w:t>
      </w:r>
      <w:r w:rsidRPr="00D507AF">
        <w:rPr>
          <w:rFonts w:cs="Arial"/>
        </w:rPr>
        <w:br/>
        <w:t>– het ontbreken van veiligheidsvoorzieningen.</w:t>
      </w:r>
    </w:p>
    <w:p w14:paraId="4C33A481" w14:textId="77777777" w:rsidR="00D507AF" w:rsidRPr="00D507AF" w:rsidRDefault="00D507AF" w:rsidP="00D507AF">
      <w:pPr>
        <w:autoSpaceDE w:val="0"/>
        <w:autoSpaceDN w:val="0"/>
        <w:adjustRightInd w:val="0"/>
        <w:spacing w:line="240" w:lineRule="auto"/>
        <w:rPr>
          <w:rFonts w:cs="Arial"/>
        </w:rPr>
      </w:pPr>
      <w:r w:rsidRPr="00D507AF">
        <w:rPr>
          <w:rFonts w:cs="Arial"/>
        </w:rPr>
        <w:t>Wie de burgerlijke aansprakelijkheid van het schoolbestuur als bewaarder van een gebrekkige zaak inroept, moet ook hier de fout - de ‘gebrekkigheid van de zaak’- bewijzen, bijvoorbeeld een trap met loszittende trede; materiaal dat onvoldoende elektrisch beveiligd is; de schade, bijvoorbeeld verwondingen; het oorzakelijk verband tussen deze gebrekkigheid en de schade.</w:t>
      </w:r>
    </w:p>
    <w:p w14:paraId="743ACF10" w14:textId="77777777" w:rsidR="00D507AF" w:rsidRPr="00D507AF" w:rsidRDefault="00D507AF" w:rsidP="00D507AF">
      <w:pPr>
        <w:autoSpaceDE w:val="0"/>
        <w:autoSpaceDN w:val="0"/>
        <w:adjustRightInd w:val="0"/>
        <w:spacing w:line="240" w:lineRule="auto"/>
        <w:rPr>
          <w:rFonts w:cs="Arial"/>
        </w:rPr>
      </w:pPr>
    </w:p>
    <w:p w14:paraId="0F268FBA" w14:textId="77777777" w:rsidR="00D507AF" w:rsidRPr="00D507AF" w:rsidRDefault="00D507AF" w:rsidP="00D507AF">
      <w:pPr>
        <w:keepNext/>
        <w:keepLines/>
        <w:numPr>
          <w:ilvl w:val="1"/>
          <w:numId w:val="3"/>
        </w:numPr>
        <w:spacing w:before="40" w:after="0"/>
        <w:outlineLvl w:val="1"/>
        <w:rPr>
          <w:rFonts w:asciiTheme="majorHAnsi" w:eastAsiaTheme="majorEastAsia" w:hAnsiTheme="majorHAnsi" w:cstheme="majorBidi"/>
          <w:color w:val="2E74B5" w:themeColor="accent1" w:themeShade="BF"/>
          <w:sz w:val="26"/>
          <w:szCs w:val="26"/>
          <w:lang w:eastAsia="nl-BE"/>
        </w:rPr>
      </w:pPr>
      <w:bookmarkStart w:id="6" w:name="_Toc505861921"/>
      <w:r w:rsidRPr="00D507AF">
        <w:rPr>
          <w:rFonts w:asciiTheme="majorHAnsi" w:eastAsiaTheme="majorEastAsia" w:hAnsiTheme="majorHAnsi" w:cstheme="majorBidi"/>
          <w:color w:val="2E74B5" w:themeColor="accent1" w:themeShade="BF"/>
          <w:sz w:val="26"/>
          <w:szCs w:val="26"/>
          <w:lang w:eastAsia="nl-BE"/>
        </w:rPr>
        <w:t>Toezicht houden en aansprakelijk gesteld worden</w:t>
      </w:r>
      <w:bookmarkEnd w:id="6"/>
    </w:p>
    <w:p w14:paraId="5564903C" w14:textId="77777777" w:rsidR="00D507AF" w:rsidRPr="00D507AF" w:rsidRDefault="00D507AF" w:rsidP="00D507AF"/>
    <w:p w14:paraId="0DFE3A72" w14:textId="77777777" w:rsidR="00D507AF" w:rsidRPr="00D507AF" w:rsidRDefault="00D507AF" w:rsidP="00D507AF">
      <w:pPr>
        <w:autoSpaceDE w:val="0"/>
        <w:autoSpaceDN w:val="0"/>
        <w:adjustRightInd w:val="0"/>
        <w:spacing w:line="240" w:lineRule="auto"/>
        <w:rPr>
          <w:rFonts w:cs="Arial"/>
          <w:bCs/>
        </w:rPr>
      </w:pPr>
      <w:r w:rsidRPr="00D507AF">
        <w:rPr>
          <w:rFonts w:cs="Arial"/>
          <w:bCs/>
        </w:rPr>
        <w:t>Aan het toezicht houden op school én het aansprakelijk gesteld worden zijn grenzen verbonden. We gaan eerst in op de algemene bepalingen voor toezicht op school én maken dan kanttekeningen bij een aantal specifieke toezichten in schoolse context.</w:t>
      </w:r>
    </w:p>
    <w:p w14:paraId="6D14E96C" w14:textId="77777777" w:rsidR="00D507AF" w:rsidRPr="00D507AF" w:rsidRDefault="00D507AF" w:rsidP="00D507AF">
      <w:pPr>
        <w:autoSpaceDE w:val="0"/>
        <w:autoSpaceDN w:val="0"/>
        <w:adjustRightInd w:val="0"/>
        <w:spacing w:line="240" w:lineRule="auto"/>
        <w:rPr>
          <w:rFonts w:cs="Arial"/>
          <w:bCs/>
          <w:iCs/>
        </w:rPr>
      </w:pPr>
      <w:r w:rsidRPr="00D507AF">
        <w:rPr>
          <w:rFonts w:cs="Arial"/>
          <w:b/>
          <w:bCs/>
          <w:iCs/>
        </w:rPr>
        <w:t xml:space="preserve">Algemene bepalingen voor het toezicht op school </w:t>
      </w:r>
    </w:p>
    <w:p w14:paraId="564BD569" w14:textId="77777777" w:rsidR="00D507AF" w:rsidRPr="00D507AF" w:rsidRDefault="00D507AF" w:rsidP="00D507AF">
      <w:pPr>
        <w:autoSpaceDE w:val="0"/>
        <w:autoSpaceDN w:val="0"/>
        <w:adjustRightInd w:val="0"/>
        <w:spacing w:line="240" w:lineRule="auto"/>
        <w:rPr>
          <w:rFonts w:cs="Arial"/>
          <w:bCs/>
          <w:iCs/>
        </w:rPr>
      </w:pPr>
      <w:r w:rsidRPr="00D507AF">
        <w:rPr>
          <w:rFonts w:cs="Arial"/>
          <w:bCs/>
          <w:iCs/>
        </w:rPr>
        <w:t xml:space="preserve"> 1.Begin en einde toezicht</w:t>
      </w:r>
    </w:p>
    <w:p w14:paraId="3646FCAE" w14:textId="77777777" w:rsidR="00D507AF" w:rsidRPr="00D507AF" w:rsidRDefault="00D507AF" w:rsidP="00D507AF">
      <w:pPr>
        <w:autoSpaceDE w:val="0"/>
        <w:autoSpaceDN w:val="0"/>
        <w:adjustRightInd w:val="0"/>
        <w:spacing w:line="240" w:lineRule="auto"/>
        <w:rPr>
          <w:rFonts w:cs="Arial"/>
        </w:rPr>
      </w:pPr>
      <w:r w:rsidRPr="00D507AF">
        <w:rPr>
          <w:rFonts w:cs="Arial"/>
        </w:rPr>
        <w:t>In principe vangt de burgerlijke aansprakelijkheid van het personeel en het schoolbestuur aan op het ogenblik waarop de leerlingen de schooldrempel overschrijden bij het binnenkomen en eindigt ze op het ogenblik dat de leerlingen die terug overschrijden bij het verlaten van de school. De school zal dan ook best in een bijzonder reglement, dat aan de ouders en het personeel bekend gemaakt wordt, vastleggen waar en wanneer ze de leerlingen onder haar verantwoordelijkheid neemt en wanneer en waar ze de leerlingen terug aan de ouders overdraagt.</w:t>
      </w:r>
    </w:p>
    <w:p w14:paraId="5C586963" w14:textId="77777777" w:rsidR="00D507AF" w:rsidRPr="00D507AF" w:rsidRDefault="00D507AF" w:rsidP="00D507AF">
      <w:pPr>
        <w:autoSpaceDE w:val="0"/>
        <w:autoSpaceDN w:val="0"/>
        <w:adjustRightInd w:val="0"/>
        <w:spacing w:line="240" w:lineRule="auto"/>
        <w:rPr>
          <w:rFonts w:cs="Arial"/>
          <w:bCs/>
          <w:iCs/>
        </w:rPr>
      </w:pPr>
      <w:r w:rsidRPr="00D507AF">
        <w:rPr>
          <w:rFonts w:cs="Arial"/>
          <w:bCs/>
          <w:iCs/>
        </w:rPr>
        <w:t>2. Aantal personeelsleden</w:t>
      </w:r>
    </w:p>
    <w:p w14:paraId="46CFF46C" w14:textId="77777777" w:rsidR="00D507AF" w:rsidRPr="00D507AF" w:rsidRDefault="00D507AF" w:rsidP="00D507AF">
      <w:pPr>
        <w:autoSpaceDE w:val="0"/>
        <w:autoSpaceDN w:val="0"/>
        <w:adjustRightInd w:val="0"/>
        <w:spacing w:line="240" w:lineRule="auto"/>
        <w:rPr>
          <w:rFonts w:cs="Arial"/>
        </w:rPr>
      </w:pPr>
      <w:r w:rsidRPr="00D507AF">
        <w:rPr>
          <w:rFonts w:cs="Arial"/>
        </w:rPr>
        <w:t>Het aantal personeelsleden vereist voor het toezicht onder andere op de speelplaats, in de gangen, in de eetzaal, ... of het aantal begeleiders bij buitenschoolse activiteiten is niet vast bepaald.  Het schoolbestuur is verantwoordelijk voor een degelijk toezicht in alle omstandigheden en moet in functie daarvan zelf oordelen hoeveel personeelsleden er in een bepaalde situatie voor het toezicht nodig zijn.</w:t>
      </w:r>
    </w:p>
    <w:p w14:paraId="32E0BDEF" w14:textId="77777777" w:rsidR="00D507AF" w:rsidRPr="00D507AF" w:rsidRDefault="00D507AF" w:rsidP="00D507AF">
      <w:pPr>
        <w:autoSpaceDE w:val="0"/>
        <w:autoSpaceDN w:val="0"/>
        <w:adjustRightInd w:val="0"/>
        <w:spacing w:line="240" w:lineRule="auto"/>
        <w:rPr>
          <w:rFonts w:cs="Arial"/>
          <w:bCs/>
          <w:iCs/>
        </w:rPr>
      </w:pPr>
      <w:r w:rsidRPr="00D507AF">
        <w:rPr>
          <w:rFonts w:cs="Arial"/>
          <w:bCs/>
          <w:i/>
          <w:iCs/>
        </w:rPr>
        <w:t xml:space="preserve">3. </w:t>
      </w:r>
      <w:r w:rsidRPr="00D507AF">
        <w:rPr>
          <w:rFonts w:cs="Arial"/>
          <w:bCs/>
          <w:iCs/>
        </w:rPr>
        <w:t>Degelijk toezicht</w:t>
      </w:r>
    </w:p>
    <w:p w14:paraId="72E34679" w14:textId="77777777" w:rsidR="00D507AF" w:rsidRPr="00D507AF" w:rsidRDefault="00D507AF" w:rsidP="00D507AF">
      <w:pPr>
        <w:autoSpaceDE w:val="0"/>
        <w:autoSpaceDN w:val="0"/>
        <w:adjustRightInd w:val="0"/>
        <w:spacing w:line="240" w:lineRule="auto"/>
        <w:rPr>
          <w:rFonts w:cs="Arial"/>
        </w:rPr>
      </w:pPr>
      <w:r w:rsidRPr="00D507AF">
        <w:rPr>
          <w:rFonts w:cs="Arial"/>
        </w:rPr>
        <w:t>Het toezicht kan slechts degelijk worden genoemd indien het continu is en effectief. Het toezicht moet continu verlopen, dit wil zeggen dat de leerlingen gedurende de ganse periode waarvoor de school de verantwoordelijkheid op zich genomen heeft onder toezicht moeten staan. Het toezicht moet effectief zijn, dit wil zeggen dat de persoon die toezicht houdt ook actief en aandachtig toezicht dient uit te oefenen en dit verschilt van louter fysiek aanwezig te zijn.</w:t>
      </w:r>
    </w:p>
    <w:p w14:paraId="14138932" w14:textId="77777777" w:rsidR="00D507AF" w:rsidRPr="00D507AF" w:rsidRDefault="00D507AF" w:rsidP="00D507AF">
      <w:pPr>
        <w:autoSpaceDE w:val="0"/>
        <w:autoSpaceDN w:val="0"/>
        <w:adjustRightInd w:val="0"/>
        <w:spacing w:line="240" w:lineRule="auto"/>
        <w:rPr>
          <w:rFonts w:cs="Arial"/>
          <w:bCs/>
          <w:iCs/>
        </w:rPr>
      </w:pPr>
      <w:r w:rsidRPr="00D507AF">
        <w:rPr>
          <w:rFonts w:cs="Arial"/>
          <w:bCs/>
          <w:iCs/>
        </w:rPr>
        <w:t>4.Toezicht in de klas</w:t>
      </w:r>
    </w:p>
    <w:p w14:paraId="4C82F2BE" w14:textId="77777777" w:rsidR="00D507AF" w:rsidRPr="00D507AF" w:rsidRDefault="00D507AF" w:rsidP="00D507AF">
      <w:pPr>
        <w:autoSpaceDE w:val="0"/>
        <w:autoSpaceDN w:val="0"/>
        <w:adjustRightInd w:val="0"/>
        <w:spacing w:line="240" w:lineRule="auto"/>
        <w:rPr>
          <w:rFonts w:cs="Arial"/>
          <w:bCs/>
          <w:iCs/>
        </w:rPr>
      </w:pPr>
      <w:r w:rsidRPr="00D507AF">
        <w:rPr>
          <w:rFonts w:cs="Arial"/>
        </w:rPr>
        <w:t>Vermits de leerkracht tijdens de lessen meestal de enige toezichter is in</w:t>
      </w:r>
      <w:r w:rsidRPr="00D507AF">
        <w:rPr>
          <w:rFonts w:cs="Arial"/>
          <w:bCs/>
          <w:iCs/>
        </w:rPr>
        <w:t xml:space="preserve"> </w:t>
      </w:r>
      <w:r w:rsidRPr="00D507AF">
        <w:rPr>
          <w:rFonts w:cs="Arial"/>
        </w:rPr>
        <w:t>de klas, zal deze dan ook de eerste geviseerde zijn indien er burgerlijke</w:t>
      </w:r>
      <w:r w:rsidRPr="00D507AF">
        <w:rPr>
          <w:rFonts w:cs="Arial"/>
          <w:bCs/>
          <w:iCs/>
        </w:rPr>
        <w:t xml:space="preserve"> </w:t>
      </w:r>
      <w:r w:rsidRPr="00D507AF">
        <w:rPr>
          <w:rFonts w:cs="Arial"/>
        </w:rPr>
        <w:t>aansprakelijkheid ingeroepen wordt voor schade opgelopen tijdens de les.</w:t>
      </w:r>
      <w:r w:rsidRPr="00D507AF">
        <w:rPr>
          <w:rFonts w:cs="Arial"/>
          <w:bCs/>
          <w:iCs/>
        </w:rPr>
        <w:t xml:space="preserve"> </w:t>
      </w:r>
      <w:r w:rsidRPr="00D507AF">
        <w:rPr>
          <w:rFonts w:cs="Arial"/>
        </w:rPr>
        <w:t>In het bijzonder dient de leerkracht de nodige veiligheidsmaatregelen te</w:t>
      </w:r>
      <w:r w:rsidRPr="00D507AF">
        <w:rPr>
          <w:rFonts w:cs="Arial"/>
          <w:bCs/>
          <w:iCs/>
        </w:rPr>
        <w:t xml:space="preserve"> </w:t>
      </w:r>
      <w:r w:rsidRPr="00D507AF">
        <w:rPr>
          <w:rFonts w:cs="Arial"/>
        </w:rPr>
        <w:t>treffen, wanneer de leerlingen toestellen hanteren of didactisch materiaal</w:t>
      </w:r>
      <w:r w:rsidRPr="00D507AF">
        <w:rPr>
          <w:rFonts w:cs="Arial"/>
          <w:bCs/>
          <w:iCs/>
        </w:rPr>
        <w:t xml:space="preserve"> </w:t>
      </w:r>
      <w:r w:rsidRPr="00D507AF">
        <w:rPr>
          <w:rFonts w:cs="Arial"/>
        </w:rPr>
        <w:t>behandelen waarbij enig gevaar kan optreden.</w:t>
      </w:r>
    </w:p>
    <w:p w14:paraId="56A749F9" w14:textId="77777777" w:rsidR="00D507AF" w:rsidRPr="00D507AF" w:rsidRDefault="00D507AF" w:rsidP="00D507AF">
      <w:pPr>
        <w:autoSpaceDE w:val="0"/>
        <w:autoSpaceDN w:val="0"/>
        <w:adjustRightInd w:val="0"/>
        <w:spacing w:line="240" w:lineRule="auto"/>
        <w:rPr>
          <w:rFonts w:cs="Arial"/>
        </w:rPr>
      </w:pPr>
      <w:r w:rsidRPr="00D507AF">
        <w:rPr>
          <w:rFonts w:cs="Arial"/>
        </w:rPr>
        <w:lastRenderedPageBreak/>
        <w:t>De leerkracht is ook verantwoordelijk voor de tucht in zijn of haar klas. Merk op dat ‘gebrek aan tucht’ in sommige gevallen door  rechters reeds beschouwd werd als een persoonlijke fout van de leerkracht en de leerkracht aansprakelijk stellen voor schade vastgesteld bij een leerling.</w:t>
      </w:r>
    </w:p>
    <w:p w14:paraId="6ACDC553" w14:textId="77777777" w:rsidR="00D507AF" w:rsidRPr="00D507AF" w:rsidRDefault="00D507AF" w:rsidP="00D507AF">
      <w:pPr>
        <w:autoSpaceDE w:val="0"/>
        <w:autoSpaceDN w:val="0"/>
        <w:adjustRightInd w:val="0"/>
        <w:spacing w:line="240" w:lineRule="auto"/>
        <w:rPr>
          <w:rFonts w:cs="Arial"/>
          <w:b/>
          <w:bCs/>
          <w:i/>
          <w:iCs/>
        </w:rPr>
      </w:pPr>
    </w:p>
    <w:p w14:paraId="7317E242" w14:textId="77777777" w:rsidR="00D507AF" w:rsidRPr="00D507AF" w:rsidRDefault="00D507AF" w:rsidP="00D507AF">
      <w:pPr>
        <w:autoSpaceDE w:val="0"/>
        <w:autoSpaceDN w:val="0"/>
        <w:adjustRightInd w:val="0"/>
        <w:spacing w:line="240" w:lineRule="auto"/>
        <w:rPr>
          <w:rFonts w:cs="Arial"/>
        </w:rPr>
      </w:pPr>
      <w:r w:rsidRPr="00D507AF">
        <w:rPr>
          <w:rFonts w:cs="Arial"/>
          <w:bCs/>
          <w:iCs/>
        </w:rPr>
        <w:t>5.Toezicht op de speelplaats en in de eetzaal</w:t>
      </w:r>
      <w:r w:rsidRPr="00D507AF">
        <w:rPr>
          <w:rFonts w:cs="Arial"/>
        </w:rPr>
        <w:t xml:space="preserve"> </w:t>
      </w:r>
    </w:p>
    <w:p w14:paraId="764FE766" w14:textId="77777777" w:rsidR="00D507AF" w:rsidRPr="00D507AF" w:rsidRDefault="00D507AF" w:rsidP="00D507AF">
      <w:pPr>
        <w:autoSpaceDE w:val="0"/>
        <w:autoSpaceDN w:val="0"/>
        <w:adjustRightInd w:val="0"/>
        <w:spacing w:line="240" w:lineRule="auto"/>
        <w:rPr>
          <w:rFonts w:cs="Arial"/>
        </w:rPr>
      </w:pPr>
      <w:r w:rsidRPr="00D507AF">
        <w:rPr>
          <w:rFonts w:cs="Arial"/>
        </w:rPr>
        <w:t>Het aantal personeelsleden, vereist voor het toezicht op de speelplaats, is niet vast bepaald en het is het inrichtingshoofd, verantwoordelijk voor de organisatie van een degelijk toezicht, dat zelf dient te beoordelen hoeveel toezichters er nodig zijn.</w:t>
      </w:r>
    </w:p>
    <w:p w14:paraId="726D23C5" w14:textId="77777777" w:rsidR="00D507AF" w:rsidRPr="00D507AF" w:rsidRDefault="00D507AF" w:rsidP="00D507AF">
      <w:pPr>
        <w:autoSpaceDE w:val="0"/>
        <w:autoSpaceDN w:val="0"/>
        <w:adjustRightInd w:val="0"/>
        <w:spacing w:line="240" w:lineRule="auto"/>
        <w:rPr>
          <w:rFonts w:cs="Arial"/>
        </w:rPr>
      </w:pPr>
      <w:r w:rsidRPr="00D507AF">
        <w:rPr>
          <w:rFonts w:cs="Arial"/>
        </w:rPr>
        <w:t>Hoeveel toezichthoudende personeelsleden er op de speelplaats en eetzaal ook zijn, regel is dat zij bij ongeval tijdens hun toezicht gezamenlijk burgerlijk aansprakelijk kunnen worden gesteld.</w:t>
      </w:r>
    </w:p>
    <w:p w14:paraId="6002362C" w14:textId="77777777" w:rsidR="00D507AF" w:rsidRPr="00D507AF" w:rsidRDefault="00D507AF" w:rsidP="00D507AF">
      <w:pPr>
        <w:autoSpaceDE w:val="0"/>
        <w:autoSpaceDN w:val="0"/>
        <w:adjustRightInd w:val="0"/>
        <w:spacing w:line="240" w:lineRule="auto"/>
        <w:rPr>
          <w:rFonts w:cs="Arial"/>
        </w:rPr>
      </w:pPr>
      <w:r w:rsidRPr="00D507AF">
        <w:rPr>
          <w:rFonts w:cs="Arial"/>
        </w:rPr>
        <w:t>Het toezicht moet effectief zijn. De personeelsleden oefenen het toezicht uit in de onmiddellijke nabijheid van de leerlingen of ertussen, teneinde onmiddellijk te kunnen ingrijpen bij ruzies, gevechten, gevaarlijke spelen of handelingen, ... Indien het toezicht ineffectief gehouden wordt, kan dit beschouwd worden als een persoonlijke fout van het toezichthoudend personeel.</w:t>
      </w:r>
    </w:p>
    <w:p w14:paraId="4FE52EB1" w14:textId="77777777" w:rsidR="00D507AF" w:rsidRPr="00D507AF" w:rsidRDefault="00D507AF" w:rsidP="00D507AF">
      <w:pPr>
        <w:autoSpaceDE w:val="0"/>
        <w:autoSpaceDN w:val="0"/>
        <w:adjustRightInd w:val="0"/>
        <w:spacing w:line="240" w:lineRule="auto"/>
        <w:rPr>
          <w:rFonts w:cs="Arial"/>
        </w:rPr>
      </w:pPr>
      <w:r w:rsidRPr="00D507AF">
        <w:rPr>
          <w:rFonts w:cs="Arial"/>
        </w:rPr>
        <w:t>Gevaarlijke spelen toelaten wordt door de rechtspraak beschouwd als een persoonlijke fout van het toezichthoudend personeelslid.</w:t>
      </w:r>
    </w:p>
    <w:p w14:paraId="263D2E0B" w14:textId="77777777" w:rsidR="00D507AF" w:rsidRPr="00D507AF" w:rsidRDefault="00D507AF" w:rsidP="00D507AF">
      <w:pPr>
        <w:autoSpaceDE w:val="0"/>
        <w:autoSpaceDN w:val="0"/>
        <w:adjustRightInd w:val="0"/>
        <w:spacing w:line="240" w:lineRule="auto"/>
        <w:rPr>
          <w:rFonts w:cs="Arial"/>
        </w:rPr>
      </w:pPr>
      <w:r w:rsidRPr="00D507AF">
        <w:rPr>
          <w:rFonts w:cs="Arial"/>
        </w:rPr>
        <w:t>Hierbij dient opgemerkt te worden dat een op zich niet gevaarlijk spel toch als gevaarlijk kan worden gezien in bepaalde de omstandigheden, bijvoorbeeld voetbal op een te druk bezette speelplaats waarop kinderen van alle leeftijden spelen; en omgekeerd een op zich gevaarlijk spel toch als niet gevaarlijk kan worden beschouwd indien de omstandigheden de situatie verzachten, bijvoorbeeld een door het toezichthoudende personeelslid georganiseerd en gereglementeerd ‘sneeuwballengooien'.</w:t>
      </w:r>
    </w:p>
    <w:p w14:paraId="141C2B7F" w14:textId="77777777" w:rsidR="00D507AF" w:rsidRPr="00D507AF" w:rsidRDefault="00D507AF" w:rsidP="00D507AF">
      <w:pPr>
        <w:autoSpaceDE w:val="0"/>
        <w:autoSpaceDN w:val="0"/>
        <w:adjustRightInd w:val="0"/>
        <w:spacing w:line="240" w:lineRule="auto"/>
        <w:rPr>
          <w:rFonts w:cs="Arial"/>
          <w:bCs/>
          <w:iCs/>
        </w:rPr>
      </w:pPr>
      <w:r w:rsidRPr="00D507AF">
        <w:rPr>
          <w:rFonts w:cs="Arial"/>
          <w:bCs/>
          <w:iCs/>
        </w:rPr>
        <w:t>6.Toezicht bij verplaatsing en het verlaten van de school</w:t>
      </w:r>
    </w:p>
    <w:p w14:paraId="17BD7644" w14:textId="77777777" w:rsidR="00D507AF" w:rsidRPr="00D507AF" w:rsidRDefault="00D507AF" w:rsidP="00D507AF">
      <w:pPr>
        <w:autoSpaceDE w:val="0"/>
        <w:autoSpaceDN w:val="0"/>
        <w:adjustRightInd w:val="0"/>
        <w:spacing w:line="240" w:lineRule="auto"/>
        <w:rPr>
          <w:rFonts w:cs="Arial"/>
        </w:rPr>
      </w:pPr>
      <w:r w:rsidRPr="00D507AF">
        <w:rPr>
          <w:rFonts w:cs="Arial"/>
        </w:rPr>
        <w:t>Leerlingengroepen kunnen zich verplaatsen:</w:t>
      </w:r>
      <w:r w:rsidRPr="00D507AF">
        <w:rPr>
          <w:rFonts w:cs="Arial"/>
        </w:rPr>
        <w:br/>
        <w:t>– van het ene schoolgebouw naar het andere;</w:t>
      </w:r>
      <w:r w:rsidRPr="00D507AF">
        <w:rPr>
          <w:rFonts w:cs="Arial"/>
        </w:rPr>
        <w:br/>
        <w:t>– van een schoolgebouw naar een andere plaats buiten de school (bijvoorbeeld zwembad, sportveld, kerk, ...);</w:t>
      </w:r>
      <w:r w:rsidRPr="00D507AF">
        <w:rPr>
          <w:rFonts w:cs="Arial"/>
        </w:rPr>
        <w:br/>
        <w:t>– na afloop van de lessen naar de bus, het fietsenrek, ...</w:t>
      </w:r>
    </w:p>
    <w:p w14:paraId="5A6EBAFC" w14:textId="77777777" w:rsidR="00D507AF" w:rsidRPr="00D507AF" w:rsidRDefault="00D507AF" w:rsidP="00D507AF">
      <w:pPr>
        <w:autoSpaceDE w:val="0"/>
        <w:autoSpaceDN w:val="0"/>
        <w:adjustRightInd w:val="0"/>
        <w:spacing w:line="240" w:lineRule="auto"/>
        <w:rPr>
          <w:rFonts w:cs="Arial"/>
        </w:rPr>
      </w:pPr>
      <w:r w:rsidRPr="00D507AF">
        <w:rPr>
          <w:rFonts w:cs="Arial"/>
        </w:rPr>
        <w:t>Ook hier dient het inrichtingshoofd zelf te beoordelen hoeveel toezichters er redelijkerwijze nodig zijn.</w:t>
      </w:r>
    </w:p>
    <w:p w14:paraId="65083CCC" w14:textId="77777777" w:rsidR="00D507AF" w:rsidRPr="00D507AF" w:rsidRDefault="00D507AF" w:rsidP="00D507AF">
      <w:pPr>
        <w:autoSpaceDE w:val="0"/>
        <w:autoSpaceDN w:val="0"/>
        <w:adjustRightInd w:val="0"/>
        <w:spacing w:line="240" w:lineRule="auto"/>
        <w:rPr>
          <w:rFonts w:cs="Arial"/>
        </w:rPr>
      </w:pPr>
      <w:r w:rsidRPr="00D507AF">
        <w:rPr>
          <w:rFonts w:cs="Arial"/>
        </w:rPr>
        <w:t>Indien verscheidene personeelsleden een leerlingengroep begeleiden, stellen zij zich zo op dat ze gezamenlijk een globaal overzicht over de groep kunnen uitoefenen. De begeleider(s) zorgen er steeds voor dat de leerlingengroep onder toezicht een goed aaneensluitend en als dusdanig een herkenbaar geheel vormt.</w:t>
      </w:r>
    </w:p>
    <w:p w14:paraId="0811437E" w14:textId="77777777" w:rsidR="00D507AF" w:rsidRPr="00D507AF" w:rsidRDefault="00D507AF" w:rsidP="00D507AF">
      <w:pPr>
        <w:autoSpaceDE w:val="0"/>
        <w:autoSpaceDN w:val="0"/>
        <w:adjustRightInd w:val="0"/>
        <w:spacing w:line="240" w:lineRule="auto"/>
        <w:rPr>
          <w:rFonts w:cs="Arial"/>
        </w:rPr>
      </w:pPr>
      <w:r w:rsidRPr="00D507AF">
        <w:rPr>
          <w:rFonts w:cs="Arial"/>
        </w:rPr>
        <w:t>Bij het oversteken van de openbare weg dienen de begeleiders er zich van bewust te zijn dat zij geen bevoegdheid hebben om het verkeer te regelen. Zij mogen bijgevolg het verkeer niet doen stoppen om een groep te laten oversteken, behalve op zebrapaden. Nochtans dient opgemerkt dat, eens een ‘rang’ aan het oversteken is, deze volgens het verkeersreglement moet worden beschouwd als ‘één bewegend geheel’ en dus door geen andere weggebruikers mag worden doorbroken.</w:t>
      </w:r>
    </w:p>
    <w:p w14:paraId="1956E309" w14:textId="77777777" w:rsidR="00D507AF" w:rsidRPr="00D507AF" w:rsidRDefault="00D507AF" w:rsidP="00D507AF">
      <w:pPr>
        <w:autoSpaceDE w:val="0"/>
        <w:autoSpaceDN w:val="0"/>
        <w:adjustRightInd w:val="0"/>
        <w:spacing w:line="240" w:lineRule="auto"/>
        <w:rPr>
          <w:rFonts w:cs="Arial"/>
        </w:rPr>
      </w:pPr>
      <w:r w:rsidRPr="00D507AF">
        <w:rPr>
          <w:rFonts w:cs="Arial"/>
        </w:rPr>
        <w:t>De begeleiders kunnen de andere weggebruikers hierop attent maken, bijvoorbeeld door handopsteken. Leerkrachten die regelmatig kinderen over de straat helpen kunnen best een aanvraag indienen om tot gemachtigd opzichter aangesteld te worden.</w:t>
      </w:r>
    </w:p>
    <w:p w14:paraId="355094D4" w14:textId="77777777" w:rsidR="00D507AF" w:rsidRPr="00D507AF" w:rsidRDefault="00D507AF" w:rsidP="00D507AF">
      <w:pPr>
        <w:autoSpaceDE w:val="0"/>
        <w:autoSpaceDN w:val="0"/>
        <w:adjustRightInd w:val="0"/>
        <w:spacing w:line="240" w:lineRule="auto"/>
        <w:rPr>
          <w:rFonts w:cs="Arial"/>
          <w:bCs/>
          <w:iCs/>
        </w:rPr>
      </w:pPr>
      <w:r w:rsidRPr="00D507AF">
        <w:rPr>
          <w:rFonts w:cs="Arial"/>
          <w:bCs/>
          <w:iCs/>
        </w:rPr>
        <w:t>7.Toezicht bij zwemmen</w:t>
      </w:r>
    </w:p>
    <w:p w14:paraId="6F6A6A92" w14:textId="77777777" w:rsidR="00D507AF" w:rsidRPr="00D507AF" w:rsidRDefault="00D507AF" w:rsidP="00D507AF">
      <w:pPr>
        <w:autoSpaceDE w:val="0"/>
        <w:autoSpaceDN w:val="0"/>
        <w:adjustRightInd w:val="0"/>
        <w:spacing w:line="240" w:lineRule="auto"/>
        <w:rPr>
          <w:rFonts w:cs="Arial"/>
        </w:rPr>
      </w:pPr>
      <w:r w:rsidRPr="00D507AF">
        <w:rPr>
          <w:rFonts w:cs="Arial"/>
        </w:rPr>
        <w:lastRenderedPageBreak/>
        <w:t>In eerste instantie dient de directie het toezicht in het zwembad te organiseren. Bij eventuele ongevallen zal steeds nagegaan worden hoe het toezicht geregeld was en of er voldoende toezicht was.</w:t>
      </w:r>
    </w:p>
    <w:p w14:paraId="60874FE9" w14:textId="77777777" w:rsidR="00D507AF" w:rsidRPr="00D507AF" w:rsidRDefault="00D507AF" w:rsidP="00D507AF">
      <w:pPr>
        <w:autoSpaceDE w:val="0"/>
        <w:autoSpaceDN w:val="0"/>
        <w:adjustRightInd w:val="0"/>
        <w:spacing w:line="240" w:lineRule="auto"/>
        <w:rPr>
          <w:rFonts w:cs="Arial"/>
        </w:rPr>
      </w:pPr>
      <w:r w:rsidRPr="00D507AF">
        <w:rPr>
          <w:rFonts w:cs="Arial"/>
        </w:rPr>
        <w:t>Als er een officiële redder aanwezig is, moet de leerkracht in de onmiddellijke nabijheid van de leerlingen zijn. Hij moet niet in het water zijn. Als er geen officiële redder is, moet de leerkracht in het water bij zijn leerlingen aanwezig zijn. Het personeelslid dat in het water bij de leerlingen is, dient technisch voldoende bekwaam te zijn voor wat betreft het redden van drenkelingen.</w:t>
      </w:r>
    </w:p>
    <w:p w14:paraId="421174A3" w14:textId="77777777" w:rsidR="00D507AF" w:rsidRPr="00D507AF" w:rsidRDefault="00D507AF" w:rsidP="00D507AF">
      <w:pPr>
        <w:autoSpaceDE w:val="0"/>
        <w:autoSpaceDN w:val="0"/>
        <w:adjustRightInd w:val="0"/>
        <w:spacing w:line="240" w:lineRule="auto"/>
        <w:rPr>
          <w:rFonts w:cs="Arial"/>
        </w:rPr>
      </w:pPr>
      <w:r w:rsidRPr="00D507AF">
        <w:rPr>
          <w:rFonts w:cs="Arial"/>
        </w:rPr>
        <w:t xml:space="preserve">Bij een gebeurlijk ongeval overkomen aan een leerling, komt zowel de burgerlijke aansprakelijkheid van de redders als van de begeleidende leerkrachten in het gedrang. </w:t>
      </w:r>
    </w:p>
    <w:p w14:paraId="32B466A2" w14:textId="77777777" w:rsidR="00D507AF" w:rsidRPr="00D507AF" w:rsidRDefault="00D507AF" w:rsidP="00D507AF">
      <w:pPr>
        <w:autoSpaceDE w:val="0"/>
        <w:autoSpaceDN w:val="0"/>
        <w:adjustRightInd w:val="0"/>
        <w:spacing w:line="240" w:lineRule="auto"/>
        <w:rPr>
          <w:rFonts w:cs="Arial"/>
          <w:bCs/>
          <w:iCs/>
        </w:rPr>
      </w:pPr>
      <w:r w:rsidRPr="00D507AF">
        <w:rPr>
          <w:rFonts w:cs="Arial"/>
          <w:bCs/>
          <w:iCs/>
        </w:rPr>
        <w:t>8.Toezicht bij busvervoer</w:t>
      </w:r>
    </w:p>
    <w:p w14:paraId="4DD23163" w14:textId="77777777" w:rsidR="00D507AF" w:rsidRPr="00D507AF" w:rsidRDefault="00D507AF" w:rsidP="00D507AF">
      <w:pPr>
        <w:autoSpaceDE w:val="0"/>
        <w:autoSpaceDN w:val="0"/>
        <w:adjustRightInd w:val="0"/>
        <w:spacing w:line="240" w:lineRule="auto"/>
        <w:rPr>
          <w:rFonts w:cs="Arial"/>
        </w:rPr>
      </w:pPr>
      <w:r w:rsidRPr="00D507AF">
        <w:rPr>
          <w:rFonts w:cs="Arial"/>
        </w:rPr>
        <w:t xml:space="preserve">Indien de school ‘intern’ leerlingenvervoer organiseert om de leerlingen te vervoeren naar plaatsen buiten de school, bijvoorbeeld zwembad, toneel- of bioscoopzaal, ... dan gebeurt dit volledig onder haar verantwoordelijkheid. De burgerlijke aansprakelijkheid van schoolbestuur en toezichthoudende personeelsleden, kan bij schadegevallen dan ook in het geding komen. </w:t>
      </w:r>
    </w:p>
    <w:p w14:paraId="13BD8952" w14:textId="77777777" w:rsidR="00D507AF" w:rsidRPr="00D507AF" w:rsidRDefault="00D507AF" w:rsidP="00D507AF">
      <w:pPr>
        <w:autoSpaceDE w:val="0"/>
        <w:autoSpaceDN w:val="0"/>
        <w:adjustRightInd w:val="0"/>
        <w:spacing w:line="240" w:lineRule="auto"/>
        <w:rPr>
          <w:rFonts w:cs="Arial"/>
        </w:rPr>
      </w:pPr>
      <w:r w:rsidRPr="00D507AF">
        <w:rPr>
          <w:rFonts w:cs="Arial"/>
        </w:rPr>
        <w:t>De  verantwoordelijkheid van de leerkracht begint op het ogenblik dat de leerling op de bus stapt en eindigt op het ogenblik dat de leerling de bus verlaat.</w:t>
      </w:r>
    </w:p>
    <w:p w14:paraId="6949C6E8" w14:textId="77777777" w:rsidR="00D507AF" w:rsidRPr="00D507AF" w:rsidRDefault="00D507AF" w:rsidP="00D507AF">
      <w:pPr>
        <w:autoSpaceDE w:val="0"/>
        <w:autoSpaceDN w:val="0"/>
        <w:adjustRightInd w:val="0"/>
        <w:spacing w:line="240" w:lineRule="auto"/>
        <w:rPr>
          <w:rFonts w:cs="Arial"/>
        </w:rPr>
      </w:pPr>
      <w:r w:rsidRPr="00D507AF">
        <w:rPr>
          <w:rFonts w:cs="Arial"/>
        </w:rPr>
        <w:t>Indien personeelsleden van de school toezicht houden tijdens het busvervoer, kunnen ze niet aansprakelijk gesteld worden voor daden van leerlingen van een andere school, behoudens andersluidende afspraken tussen de scholen, waarover het betrokken personeelslid vooraf moet worden ingelicht. Ze kunnen uiteraard altijd aansprakelijk gesteld worden voor een persoonlijke fout.</w:t>
      </w:r>
    </w:p>
    <w:p w14:paraId="4E60B45B" w14:textId="77777777" w:rsidR="00D507AF" w:rsidRPr="00D507AF" w:rsidRDefault="00D507AF" w:rsidP="00D507AF">
      <w:pPr>
        <w:autoSpaceDE w:val="0"/>
        <w:autoSpaceDN w:val="0"/>
        <w:adjustRightInd w:val="0"/>
        <w:spacing w:line="240" w:lineRule="auto"/>
        <w:rPr>
          <w:rFonts w:cs="Arial"/>
        </w:rPr>
      </w:pPr>
      <w:r w:rsidRPr="00D507AF">
        <w:rPr>
          <w:rFonts w:cs="Arial"/>
        </w:rPr>
        <w:t>De leerkrachten die te laat op school komen ingevolge het uitvoeren van een begeleidingsopdracht (verkeersopstopping, verkeersongeval, defect aan de schoolbus) zijn ontheven van elke burgerlijke aansprakelijkheid ten opzichte van de leerlingen van hun eigen klas die op dat ogenblik zonder toezicht zouden zijn. In dat geval behoort het inrichtingshoofd de nodige maatregelen te nemen voor het zorgen voor een degelijk toezicht</w:t>
      </w:r>
    </w:p>
    <w:p w14:paraId="6EF3ED7C" w14:textId="77777777" w:rsidR="00D507AF" w:rsidRPr="00D507AF" w:rsidRDefault="00D507AF" w:rsidP="00D507AF">
      <w:pPr>
        <w:autoSpaceDE w:val="0"/>
        <w:autoSpaceDN w:val="0"/>
        <w:adjustRightInd w:val="0"/>
        <w:spacing w:line="240" w:lineRule="auto"/>
        <w:rPr>
          <w:rFonts w:cs="Arial"/>
          <w:bCs/>
          <w:iCs/>
        </w:rPr>
      </w:pPr>
      <w:r w:rsidRPr="00D507AF">
        <w:rPr>
          <w:rFonts w:cs="Arial"/>
          <w:bCs/>
          <w:iCs/>
        </w:rPr>
        <w:t>9.Toezicht bij buitenschoolse activiteiten</w:t>
      </w:r>
    </w:p>
    <w:p w14:paraId="1EEA9381" w14:textId="77777777" w:rsidR="00D507AF" w:rsidRPr="00D507AF" w:rsidRDefault="00D507AF" w:rsidP="00D507AF">
      <w:pPr>
        <w:autoSpaceDE w:val="0"/>
        <w:autoSpaceDN w:val="0"/>
        <w:adjustRightInd w:val="0"/>
        <w:spacing w:line="240" w:lineRule="auto"/>
        <w:rPr>
          <w:rFonts w:cs="Arial"/>
        </w:rPr>
      </w:pPr>
      <w:r w:rsidRPr="00D507AF">
        <w:rPr>
          <w:rFonts w:cs="Arial"/>
        </w:rPr>
        <w:t>Ook hier geldt de regel dat het inrichtingshoofd verantwoordelijk is voor de organisatie van het toezicht, dit wil zeggen het bepalen van het vereiste aantal toezichthoudende personeelsleden.</w:t>
      </w:r>
    </w:p>
    <w:p w14:paraId="28296D3E" w14:textId="77777777" w:rsidR="00D507AF" w:rsidRPr="00D507AF" w:rsidRDefault="00D507AF" w:rsidP="00D507AF">
      <w:pPr>
        <w:autoSpaceDE w:val="0"/>
        <w:autoSpaceDN w:val="0"/>
        <w:adjustRightInd w:val="0"/>
        <w:spacing w:line="240" w:lineRule="auto"/>
        <w:rPr>
          <w:rFonts w:cs="Arial"/>
        </w:rPr>
      </w:pPr>
      <w:r w:rsidRPr="00D507AF">
        <w:rPr>
          <w:rFonts w:cs="Arial"/>
        </w:rPr>
        <w:t>De burgerlijke aansprakelijkheid van het toezichthoudende personeelslid kan ingeroepen worden gedurende de volledige duur van de activiteit, dit is:</w:t>
      </w:r>
      <w:r w:rsidRPr="00D507AF">
        <w:rPr>
          <w:rFonts w:cs="Arial"/>
        </w:rPr>
        <w:br/>
        <w:t>– de verplaatsing vanaf de  school naar de activiteitsplaats;</w:t>
      </w:r>
      <w:r w:rsidRPr="00D507AF">
        <w:rPr>
          <w:rFonts w:cs="Arial"/>
        </w:rPr>
        <w:br/>
        <w:t>– de duur van de activiteit zelf;</w:t>
      </w:r>
      <w:r w:rsidRPr="00D507AF">
        <w:rPr>
          <w:rFonts w:cs="Arial"/>
        </w:rPr>
        <w:br/>
        <w:t>– de terugkeer van de activiteitsplaats naar de school.</w:t>
      </w:r>
    </w:p>
    <w:p w14:paraId="5850B1E6" w14:textId="77777777" w:rsidR="00D507AF" w:rsidRPr="00D507AF" w:rsidRDefault="00D507AF" w:rsidP="00D507AF">
      <w:pPr>
        <w:autoSpaceDE w:val="0"/>
        <w:autoSpaceDN w:val="0"/>
        <w:adjustRightInd w:val="0"/>
        <w:spacing w:line="240" w:lineRule="auto"/>
        <w:rPr>
          <w:rFonts w:cs="Arial"/>
        </w:rPr>
      </w:pPr>
      <w:r w:rsidRPr="00D507AF">
        <w:rPr>
          <w:rFonts w:cs="Arial"/>
        </w:rPr>
        <w:t>Het is duidelijk dat de leeftijd van de leerlingen hier een belangrijke rol</w:t>
      </w:r>
      <w:r w:rsidRPr="00D507AF">
        <w:rPr>
          <w:rFonts w:cs="Arial"/>
        </w:rPr>
        <w:br/>
        <w:t>kan spelen. Rekening houdende met de te verwachten eigen zin voor</w:t>
      </w:r>
      <w:r w:rsidRPr="00D507AF">
        <w:rPr>
          <w:rFonts w:cs="Arial"/>
        </w:rPr>
        <w:br/>
        <w:t>verantwoordelijkheid en besef van gevaar kan men oudere leerlingen wel</w:t>
      </w:r>
      <w:r w:rsidRPr="00D507AF">
        <w:rPr>
          <w:rFonts w:cs="Arial"/>
        </w:rPr>
        <w:br/>
        <w:t>een vrije tijd toekennen, tijdens een stadsbezoek bijvoorbeeld, wat niet kan aanvaard worden bij jongere leerlingen.</w:t>
      </w:r>
    </w:p>
    <w:p w14:paraId="2AC59E3F" w14:textId="77777777" w:rsidR="00D507AF" w:rsidRPr="00D507AF" w:rsidRDefault="00D507AF" w:rsidP="00D507AF">
      <w:pPr>
        <w:autoSpaceDE w:val="0"/>
        <w:autoSpaceDN w:val="0"/>
        <w:adjustRightInd w:val="0"/>
        <w:spacing w:line="240" w:lineRule="auto"/>
        <w:rPr>
          <w:rFonts w:cs="Arial"/>
          <w:bCs/>
          <w:iCs/>
        </w:rPr>
      </w:pPr>
      <w:r w:rsidRPr="00D507AF">
        <w:rPr>
          <w:rFonts w:cs="Arial"/>
          <w:bCs/>
          <w:iCs/>
        </w:rPr>
        <w:t>10.Extramurosactiviteiten</w:t>
      </w:r>
    </w:p>
    <w:p w14:paraId="7A549A9E" w14:textId="77777777" w:rsidR="00D507AF" w:rsidRPr="00D507AF" w:rsidRDefault="00D507AF" w:rsidP="00D507AF">
      <w:pPr>
        <w:autoSpaceDE w:val="0"/>
        <w:autoSpaceDN w:val="0"/>
        <w:adjustRightInd w:val="0"/>
        <w:spacing w:line="240" w:lineRule="auto"/>
        <w:rPr>
          <w:rFonts w:cs="Arial"/>
        </w:rPr>
      </w:pPr>
      <w:r w:rsidRPr="00D507AF">
        <w:rPr>
          <w:rFonts w:cs="Arial"/>
        </w:rPr>
        <w:t>Om de planlast te verminderen, kan de school het vragen van een afzonderlijke toestemming per activiteit ook vervangen door een algemene bepaling in het schoolreglement. Deze bepaling wijst er best op dat het de bedoeling is zo veel mogelijk kinderen aan de extramurosactiviteiten te laten deelnemen en dat de school ervan uitgaat dat zonder tegenbericht van de ouders het kind inderdaad mag deelnemen.</w:t>
      </w:r>
    </w:p>
    <w:p w14:paraId="1ABCA765" w14:textId="77777777" w:rsidR="00D507AF" w:rsidRPr="00D507AF" w:rsidRDefault="00D507AF" w:rsidP="00D507AF">
      <w:pPr>
        <w:autoSpaceDE w:val="0"/>
        <w:autoSpaceDN w:val="0"/>
        <w:adjustRightInd w:val="0"/>
        <w:spacing w:line="240" w:lineRule="auto"/>
        <w:rPr>
          <w:rFonts w:cs="Arial"/>
        </w:rPr>
      </w:pPr>
      <w:r w:rsidRPr="00D507AF">
        <w:rPr>
          <w:rFonts w:cs="Arial"/>
        </w:rPr>
        <w:lastRenderedPageBreak/>
        <w:t>De ouders moeten er in dezelfde bepaling evenwel ook uitdrukkelijk op gewezen worden dat zij het recht hebben om hun kinderen niet mee te laten gaan op extramurosactiviteiten van een volledige dag of meer, mits ze deze weigering voorafgaandelijk aan de betrokken activiteit uitdrukkelijk schriftelijk kenbaar maken aan de school. Het schoolreglement vermeldt bij voorkeur ook dat leerplichtige kinderen die niet deelnemen aan extramurosactiviteiten wel degelijk aanwezig moeten zijn op school.</w:t>
      </w:r>
    </w:p>
    <w:p w14:paraId="526E9B3E" w14:textId="77777777" w:rsidR="00D507AF" w:rsidRPr="00D507AF" w:rsidRDefault="00D507AF" w:rsidP="00D507AF">
      <w:pPr>
        <w:autoSpaceDE w:val="0"/>
        <w:autoSpaceDN w:val="0"/>
        <w:adjustRightInd w:val="0"/>
        <w:spacing w:line="240" w:lineRule="auto"/>
        <w:rPr>
          <w:rFonts w:cs="Arial"/>
        </w:rPr>
      </w:pPr>
      <w:r w:rsidRPr="00D507AF">
        <w:rPr>
          <w:rFonts w:cs="Arial"/>
        </w:rPr>
        <w:t xml:space="preserve">In principe nemen alle leerlingen deel. De directeur beslist als een ‘goede huisvader’ hoeveel begeleiders nodig zijn en vanaf welk aantal niet-deelnemers de organisatie niet langer opportuun is. Ook hier zullen concrete omstandigheden zoals de leeftijd van de leerlingen, de omgeving en de aard van de activiteit mee het aantal begeleiders bepalen. Natuurlijk moeten de activiteiten een onderwijzend en opvoedend karakter hebben, goed voorbereid zijn en geëvalueerd worden. </w:t>
      </w:r>
    </w:p>
    <w:p w14:paraId="78467349" w14:textId="77777777" w:rsidR="00D507AF" w:rsidRPr="00D507AF" w:rsidRDefault="00D507AF" w:rsidP="00D507AF">
      <w:pPr>
        <w:autoSpaceDE w:val="0"/>
        <w:autoSpaceDN w:val="0"/>
        <w:adjustRightInd w:val="0"/>
        <w:spacing w:line="240" w:lineRule="auto"/>
        <w:rPr>
          <w:rFonts w:cs="Arial"/>
        </w:rPr>
      </w:pPr>
      <w:r w:rsidRPr="00D507AF">
        <w:rPr>
          <w:rFonts w:cs="Arial"/>
        </w:rPr>
        <w:t>Personen die geen personeelslid zijn van de school kunnen aan de begeleiders worden toegevoegd, zonder echter in aanmerking te komen voor toepassing van het hogervermeld principe van het ‘voldoende aantal’. De school moet voor deze externen de nodige maatregelen treffen op het vlak van verzekeringen.</w:t>
      </w:r>
    </w:p>
    <w:p w14:paraId="41C1A896" w14:textId="77777777" w:rsidR="0041747D" w:rsidRDefault="0041747D"/>
    <w:sectPr w:rsidR="0041747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CA445" w14:textId="77777777" w:rsidR="00D507AF" w:rsidRDefault="00D507AF" w:rsidP="00D507AF">
      <w:pPr>
        <w:spacing w:after="0" w:line="240" w:lineRule="auto"/>
      </w:pPr>
      <w:r>
        <w:separator/>
      </w:r>
    </w:p>
  </w:endnote>
  <w:endnote w:type="continuationSeparator" w:id="0">
    <w:p w14:paraId="7C6B6FC5" w14:textId="77777777" w:rsidR="00D507AF" w:rsidRDefault="00D507AF" w:rsidP="00D5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086E7" w14:textId="77777777" w:rsidR="00D507AF" w:rsidRDefault="00D507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B4890" w14:textId="77777777" w:rsidR="00D507AF" w:rsidRDefault="00D507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890D" w14:textId="77777777" w:rsidR="00D507AF" w:rsidRDefault="00D507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87B25" w14:textId="77777777" w:rsidR="00D507AF" w:rsidRDefault="00D507AF" w:rsidP="00D507AF">
      <w:pPr>
        <w:spacing w:after="0" w:line="240" w:lineRule="auto"/>
      </w:pPr>
      <w:r>
        <w:separator/>
      </w:r>
    </w:p>
  </w:footnote>
  <w:footnote w:type="continuationSeparator" w:id="0">
    <w:p w14:paraId="3F4CF38B" w14:textId="77777777" w:rsidR="00D507AF" w:rsidRDefault="00D507AF" w:rsidP="00D50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3B02" w14:textId="77777777" w:rsidR="00D507AF" w:rsidRDefault="00D507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DD00" w14:textId="77777777" w:rsidR="00D507AF" w:rsidRDefault="00D507AF">
    <w:pPr>
      <w:pStyle w:val="Koptekst"/>
    </w:pPr>
    <w:r>
      <w:rPr>
        <w:rFonts w:eastAsia="Times New Roman" w:cs="Times New Roman"/>
        <w:noProof/>
        <w:lang w:eastAsia="nl-BE"/>
      </w:rPr>
      <w:drawing>
        <wp:anchor distT="0" distB="0" distL="114300" distR="114300" simplePos="0" relativeHeight="251659264" behindDoc="0" locked="0" layoutInCell="1" allowOverlap="1" wp14:anchorId="1510465C" wp14:editId="2C67FF0E">
          <wp:simplePos x="0" y="0"/>
          <wp:positionH relativeFrom="margin">
            <wp:posOffset>-314325</wp:posOffset>
          </wp:positionH>
          <wp:positionV relativeFrom="paragraph">
            <wp:posOffset>-276860</wp:posOffset>
          </wp:positionV>
          <wp:extent cx="953770" cy="371475"/>
          <wp:effectExtent l="0" t="0" r="0" b="9525"/>
          <wp:wrapThrough wrapText="bothSides">
            <wp:wrapPolygon edited="0">
              <wp:start x="0" y="0"/>
              <wp:lineTo x="0" y="21046"/>
              <wp:lineTo x="21140" y="21046"/>
              <wp:lineTo x="21140" y="0"/>
              <wp:lineTo x="0" y="0"/>
            </wp:wrapPolygon>
          </wp:wrapThrough>
          <wp:docPr id="2" name="Picture 1" descr="ttp://static.thomasmore.be/huisstijl/images/TM_logo_wi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tatic.thomasmore.be/huisstijl/images/TM_logo_wit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4558D" w14:textId="77777777" w:rsidR="00D507AF" w:rsidRDefault="00D507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43424"/>
    <w:multiLevelType w:val="hybridMultilevel"/>
    <w:tmpl w:val="3332609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C6D6234"/>
    <w:multiLevelType w:val="multilevel"/>
    <w:tmpl w:val="38B28E3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3F850275"/>
    <w:multiLevelType w:val="hybridMultilevel"/>
    <w:tmpl w:val="DABCF6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43915BD2"/>
    <w:multiLevelType w:val="multilevel"/>
    <w:tmpl w:val="8BBE9AA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AF"/>
    <w:rsid w:val="00251143"/>
    <w:rsid w:val="0041747D"/>
    <w:rsid w:val="00D507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0E0D"/>
  <w15:chartTrackingRefBased/>
  <w15:docId w15:val="{440B8D9C-B7DB-4253-B972-CDBBA8BE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07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07AF"/>
  </w:style>
  <w:style w:type="paragraph" w:styleId="Voettekst">
    <w:name w:val="footer"/>
    <w:basedOn w:val="Standaard"/>
    <w:link w:val="VoettekstChar"/>
    <w:uiPriority w:val="99"/>
    <w:unhideWhenUsed/>
    <w:rsid w:val="00D507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d.vvkso-ict.com/vvksosites/UPLOAD/2014/M-VVKSO-2014-008.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3" ma:contentTypeDescription="Create a new document." ma:contentTypeScope="" ma:versionID="5902b2825e1370962fd98a79fb1bd79e">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a2c31f4fa065ad890534a224619b7303"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0E6F7-62B9-4CA7-9D24-4FEB1E12F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1941D-6170-4F07-AA21-CF5031C2810D}">
  <ds:schemaRefs>
    <ds:schemaRef ds:uri="http://schemas.microsoft.com/sharepoint/v3/contenttype/forms"/>
  </ds:schemaRefs>
</ds:datastoreItem>
</file>

<file path=customXml/itemProps3.xml><?xml version="1.0" encoding="utf-8"?>
<ds:datastoreItem xmlns:ds="http://schemas.openxmlformats.org/officeDocument/2006/customXml" ds:itemID="{5BD69797-FAFA-4BEF-94E6-A11674184B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3632</Words>
  <Characters>19979</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2020-04-29T11:11:00Z</dcterms:created>
  <dcterms:modified xsi:type="dcterms:W3CDTF">2020-04-29T11:11:00Z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